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81257" w14:textId="38B6175C" w:rsidR="00096BE4" w:rsidRDefault="00C917DB" w:rsidP="000711C8">
      <w:pPr>
        <w:jc w:val="center"/>
        <w:rPr>
          <w:sz w:val="32"/>
          <w:szCs w:val="32"/>
        </w:rPr>
      </w:pPr>
      <w:r w:rsidRPr="00096BE4">
        <w:rPr>
          <w:sz w:val="32"/>
          <w:szCs w:val="32"/>
        </w:rPr>
        <w:t xml:space="preserve">The </w:t>
      </w:r>
      <w:r w:rsidR="004172CB">
        <w:rPr>
          <w:sz w:val="32"/>
          <w:szCs w:val="32"/>
        </w:rPr>
        <w:t xml:space="preserve">recent </w:t>
      </w:r>
      <w:r w:rsidRPr="00096BE4">
        <w:rPr>
          <w:sz w:val="32"/>
          <w:szCs w:val="32"/>
        </w:rPr>
        <w:t>d</w:t>
      </w:r>
      <w:r w:rsidR="003D6641">
        <w:rPr>
          <w:sz w:val="32"/>
          <w:szCs w:val="32"/>
        </w:rPr>
        <w:t>ecline</w:t>
      </w:r>
      <w:r w:rsidRPr="00096BE4">
        <w:rPr>
          <w:sz w:val="32"/>
          <w:szCs w:val="32"/>
        </w:rPr>
        <w:t xml:space="preserve"> in </w:t>
      </w:r>
      <w:r w:rsidR="003D6641">
        <w:rPr>
          <w:sz w:val="32"/>
          <w:szCs w:val="32"/>
        </w:rPr>
        <w:t>college-going</w:t>
      </w:r>
      <w:r w:rsidR="00E6374A">
        <w:rPr>
          <w:sz w:val="32"/>
          <w:szCs w:val="32"/>
        </w:rPr>
        <w:t xml:space="preserve"> among </w:t>
      </w:r>
      <w:r w:rsidR="00C512EF">
        <w:rPr>
          <w:sz w:val="32"/>
          <w:szCs w:val="32"/>
        </w:rPr>
        <w:t xml:space="preserve">Black </w:t>
      </w:r>
      <w:r w:rsidR="00E6374A">
        <w:rPr>
          <w:sz w:val="32"/>
          <w:szCs w:val="32"/>
        </w:rPr>
        <w:t>Americans</w:t>
      </w:r>
      <w:r w:rsidR="00234A14">
        <w:rPr>
          <w:rStyle w:val="FootnoteReference"/>
          <w:sz w:val="32"/>
          <w:szCs w:val="32"/>
        </w:rPr>
        <w:footnoteReference w:id="2"/>
      </w:r>
      <w:r w:rsidR="003D6641">
        <w:rPr>
          <w:sz w:val="32"/>
          <w:szCs w:val="32"/>
        </w:rPr>
        <w:t>.</w:t>
      </w:r>
    </w:p>
    <w:p w14:paraId="25CCC5D2" w14:textId="77777777" w:rsidR="008C1A2D" w:rsidRDefault="008C1A2D" w:rsidP="008C1A2D">
      <w:pPr>
        <w:spacing w:after="0"/>
        <w:jc w:val="center"/>
        <w:rPr>
          <w:sz w:val="24"/>
          <w:szCs w:val="24"/>
        </w:rPr>
      </w:pPr>
      <w:r w:rsidRPr="006C783D">
        <w:rPr>
          <w:sz w:val="24"/>
          <w:szCs w:val="24"/>
        </w:rPr>
        <w:t>Juliana de Castro Galvao, Samuel Neylon, Christopher Maggio and Paul Attewell</w:t>
      </w:r>
      <w:r>
        <w:rPr>
          <w:sz w:val="24"/>
          <w:szCs w:val="24"/>
        </w:rPr>
        <w:t>.</w:t>
      </w:r>
    </w:p>
    <w:p w14:paraId="2528B5A2" w14:textId="2C91ED9A" w:rsidR="008C1A2D" w:rsidRPr="008C1A2D" w:rsidRDefault="008C1A2D" w:rsidP="008C1A2D">
      <w:pPr>
        <w:jc w:val="center"/>
        <w:rPr>
          <w:sz w:val="24"/>
          <w:szCs w:val="24"/>
        </w:rPr>
      </w:pPr>
      <w:r>
        <w:rPr>
          <w:sz w:val="24"/>
          <w:szCs w:val="24"/>
        </w:rPr>
        <w:t>Graduate Center of the City University of New York.</w:t>
      </w:r>
      <w:r w:rsidR="00286BB6">
        <w:rPr>
          <w:sz w:val="24"/>
          <w:szCs w:val="24"/>
        </w:rPr>
        <w:t xml:space="preserve"> </w:t>
      </w:r>
      <w:r w:rsidR="001F7CBB">
        <w:rPr>
          <w:sz w:val="16"/>
          <w:szCs w:val="16"/>
        </w:rPr>
        <w:t>1</w:t>
      </w:r>
      <w:r w:rsidR="00C642DF">
        <w:rPr>
          <w:sz w:val="16"/>
          <w:szCs w:val="16"/>
        </w:rPr>
        <w:t>1/</w:t>
      </w:r>
      <w:r w:rsidR="00FA6E42">
        <w:rPr>
          <w:sz w:val="16"/>
          <w:szCs w:val="16"/>
        </w:rPr>
        <w:t>10</w:t>
      </w:r>
      <w:bookmarkStart w:id="0" w:name="_GoBack"/>
      <w:bookmarkEnd w:id="0"/>
      <w:r w:rsidR="00286BB6" w:rsidRPr="00286BB6">
        <w:rPr>
          <w:sz w:val="16"/>
          <w:szCs w:val="16"/>
        </w:rPr>
        <w:t>/2019</w:t>
      </w:r>
    </w:p>
    <w:p w14:paraId="5A1D110A" w14:textId="5E94D6C4" w:rsidR="00096BE4" w:rsidRPr="00096CB6" w:rsidRDefault="00096BE4">
      <w:pPr>
        <w:rPr>
          <w:b/>
          <w:bCs/>
          <w:sz w:val="24"/>
          <w:szCs w:val="24"/>
        </w:rPr>
      </w:pPr>
      <w:r w:rsidRPr="00096CB6">
        <w:rPr>
          <w:b/>
          <w:bCs/>
          <w:sz w:val="24"/>
          <w:szCs w:val="24"/>
        </w:rPr>
        <w:t>Introduction</w:t>
      </w:r>
      <w:r w:rsidR="005C1280">
        <w:rPr>
          <w:rStyle w:val="FootnoteReference"/>
          <w:b/>
          <w:bCs/>
          <w:sz w:val="24"/>
          <w:szCs w:val="24"/>
        </w:rPr>
        <w:footnoteReference w:id="3"/>
      </w:r>
      <w:r w:rsidRPr="00096CB6">
        <w:rPr>
          <w:b/>
          <w:bCs/>
          <w:sz w:val="24"/>
          <w:szCs w:val="24"/>
        </w:rPr>
        <w:t>.</w:t>
      </w:r>
    </w:p>
    <w:p w14:paraId="760722CF" w14:textId="4D154AA9" w:rsidR="00C917DB" w:rsidRPr="00096CB6" w:rsidRDefault="00BA4F75">
      <w:pPr>
        <w:rPr>
          <w:sz w:val="24"/>
          <w:szCs w:val="24"/>
        </w:rPr>
      </w:pPr>
      <w:r>
        <w:rPr>
          <w:sz w:val="24"/>
          <w:szCs w:val="24"/>
        </w:rPr>
        <w:t>Black</w:t>
      </w:r>
      <w:r w:rsidR="00C917DB" w:rsidRPr="00096CB6">
        <w:rPr>
          <w:sz w:val="24"/>
          <w:szCs w:val="24"/>
        </w:rPr>
        <w:t xml:space="preserve"> enrollment in higher education grew steadily </w:t>
      </w:r>
      <w:r w:rsidR="00506644" w:rsidRPr="00096CB6">
        <w:rPr>
          <w:sz w:val="24"/>
          <w:szCs w:val="24"/>
        </w:rPr>
        <w:t>through</w:t>
      </w:r>
      <w:r w:rsidR="003F5B75">
        <w:rPr>
          <w:sz w:val="24"/>
          <w:szCs w:val="24"/>
        </w:rPr>
        <w:t>out</w:t>
      </w:r>
      <w:r w:rsidR="00506644" w:rsidRPr="00096CB6">
        <w:rPr>
          <w:sz w:val="24"/>
          <w:szCs w:val="24"/>
        </w:rPr>
        <w:t xml:space="preserve"> </w:t>
      </w:r>
      <w:r w:rsidR="00401040" w:rsidRPr="00096CB6">
        <w:rPr>
          <w:sz w:val="24"/>
          <w:szCs w:val="24"/>
        </w:rPr>
        <w:t>the</w:t>
      </w:r>
      <w:r w:rsidR="00C917DB" w:rsidRPr="00096CB6">
        <w:rPr>
          <w:sz w:val="24"/>
          <w:szCs w:val="24"/>
        </w:rPr>
        <w:t xml:space="preserve"> </w:t>
      </w:r>
      <w:r w:rsidR="00633644" w:rsidRPr="00096CB6">
        <w:rPr>
          <w:sz w:val="24"/>
          <w:szCs w:val="24"/>
        </w:rPr>
        <w:t>second</w:t>
      </w:r>
      <w:r w:rsidR="00C917DB" w:rsidRPr="00096CB6">
        <w:rPr>
          <w:sz w:val="24"/>
          <w:szCs w:val="24"/>
        </w:rPr>
        <w:t xml:space="preserve"> half of the 20</w:t>
      </w:r>
      <w:r w:rsidR="00C917DB" w:rsidRPr="00096CB6">
        <w:rPr>
          <w:sz w:val="24"/>
          <w:szCs w:val="24"/>
          <w:vertAlign w:val="superscript"/>
        </w:rPr>
        <w:t>th</w:t>
      </w:r>
      <w:r w:rsidR="00C917DB" w:rsidRPr="00096CB6">
        <w:rPr>
          <w:sz w:val="24"/>
          <w:szCs w:val="24"/>
        </w:rPr>
        <w:t xml:space="preserve"> </w:t>
      </w:r>
      <w:r w:rsidR="00A10723" w:rsidRPr="00096CB6">
        <w:rPr>
          <w:sz w:val="24"/>
          <w:szCs w:val="24"/>
        </w:rPr>
        <w:t>century and</w:t>
      </w:r>
      <w:r w:rsidR="00C917DB" w:rsidRPr="00096CB6">
        <w:rPr>
          <w:sz w:val="24"/>
          <w:szCs w:val="24"/>
        </w:rPr>
        <w:t xml:space="preserve"> continued to </w:t>
      </w:r>
      <w:r w:rsidR="003D6641" w:rsidRPr="00096CB6">
        <w:rPr>
          <w:sz w:val="24"/>
          <w:szCs w:val="24"/>
        </w:rPr>
        <w:t>expand</w:t>
      </w:r>
      <w:r w:rsidR="00C917DB" w:rsidRPr="00096CB6">
        <w:rPr>
          <w:sz w:val="24"/>
          <w:szCs w:val="24"/>
        </w:rPr>
        <w:t xml:space="preserve"> </w:t>
      </w:r>
      <w:r w:rsidR="00595BCB" w:rsidRPr="00096CB6">
        <w:rPr>
          <w:sz w:val="24"/>
          <w:szCs w:val="24"/>
        </w:rPr>
        <w:t>until</w:t>
      </w:r>
      <w:r w:rsidR="00C917DB" w:rsidRPr="00096CB6">
        <w:rPr>
          <w:sz w:val="24"/>
          <w:szCs w:val="24"/>
        </w:rPr>
        <w:t xml:space="preserve"> 2010</w:t>
      </w:r>
      <w:r w:rsidR="00904000" w:rsidRPr="00096CB6">
        <w:rPr>
          <w:sz w:val="24"/>
          <w:szCs w:val="24"/>
        </w:rPr>
        <w:t xml:space="preserve">, </w:t>
      </w:r>
      <w:r w:rsidR="00950CCC" w:rsidRPr="00096CB6">
        <w:rPr>
          <w:sz w:val="24"/>
          <w:szCs w:val="24"/>
        </w:rPr>
        <w:t>a</w:t>
      </w:r>
      <w:r w:rsidR="00583242" w:rsidRPr="00096CB6">
        <w:rPr>
          <w:sz w:val="24"/>
          <w:szCs w:val="24"/>
        </w:rPr>
        <w:t xml:space="preserve"> </w:t>
      </w:r>
      <w:r w:rsidR="004A0164" w:rsidRPr="00096CB6">
        <w:rPr>
          <w:sz w:val="24"/>
          <w:szCs w:val="24"/>
        </w:rPr>
        <w:t>driving force</w:t>
      </w:r>
      <w:r w:rsidR="00583242" w:rsidRPr="00096CB6">
        <w:rPr>
          <w:sz w:val="24"/>
          <w:szCs w:val="24"/>
        </w:rPr>
        <w:t xml:space="preserve"> behind </w:t>
      </w:r>
      <w:r w:rsidR="00E320EA" w:rsidRPr="00096CB6">
        <w:rPr>
          <w:sz w:val="24"/>
          <w:szCs w:val="24"/>
        </w:rPr>
        <w:t xml:space="preserve">the </w:t>
      </w:r>
      <w:r w:rsidR="00904000" w:rsidRPr="00096CB6">
        <w:rPr>
          <w:sz w:val="24"/>
          <w:szCs w:val="24"/>
        </w:rPr>
        <w:t xml:space="preserve">growth of the </w:t>
      </w:r>
      <w:r>
        <w:rPr>
          <w:sz w:val="24"/>
          <w:szCs w:val="24"/>
        </w:rPr>
        <w:t>Black</w:t>
      </w:r>
      <w:r w:rsidR="00904000" w:rsidRPr="00096CB6">
        <w:rPr>
          <w:sz w:val="24"/>
          <w:szCs w:val="24"/>
        </w:rPr>
        <w:t xml:space="preserve"> middle class</w:t>
      </w:r>
      <w:r w:rsidR="00020956">
        <w:rPr>
          <w:sz w:val="24"/>
          <w:szCs w:val="24"/>
        </w:rPr>
        <w:t xml:space="preserve"> (Landry 1987, 2018).</w:t>
      </w:r>
      <w:r w:rsidR="00904000" w:rsidRPr="00096CB6">
        <w:rPr>
          <w:sz w:val="24"/>
          <w:szCs w:val="24"/>
        </w:rPr>
        <w:t xml:space="preserve"> </w:t>
      </w:r>
      <w:r w:rsidR="003D6641" w:rsidRPr="00096CB6">
        <w:rPr>
          <w:sz w:val="24"/>
          <w:szCs w:val="24"/>
        </w:rPr>
        <w:t>After</w:t>
      </w:r>
      <w:r w:rsidR="00C917DB" w:rsidRPr="00096CB6">
        <w:rPr>
          <w:sz w:val="24"/>
          <w:szCs w:val="24"/>
        </w:rPr>
        <w:t xml:space="preserve"> </w:t>
      </w:r>
      <w:r w:rsidR="00904000" w:rsidRPr="00096CB6">
        <w:rPr>
          <w:sz w:val="24"/>
          <w:szCs w:val="24"/>
        </w:rPr>
        <w:t>2010</w:t>
      </w:r>
      <w:r w:rsidR="003D6641" w:rsidRPr="00096CB6">
        <w:rPr>
          <w:sz w:val="24"/>
          <w:szCs w:val="24"/>
        </w:rPr>
        <w:t>, however,</w:t>
      </w:r>
      <w:r w:rsidR="00904000" w:rsidRPr="00096CB6">
        <w:rPr>
          <w:sz w:val="24"/>
          <w:szCs w:val="24"/>
        </w:rPr>
        <w:t xml:space="preserve"> </w:t>
      </w:r>
      <w:r w:rsidR="00C917DB" w:rsidRPr="00096CB6">
        <w:rPr>
          <w:sz w:val="24"/>
          <w:szCs w:val="24"/>
        </w:rPr>
        <w:t>th</w:t>
      </w:r>
      <w:r w:rsidR="00FA16CE">
        <w:rPr>
          <w:sz w:val="24"/>
          <w:szCs w:val="24"/>
        </w:rPr>
        <w:t>is</w:t>
      </w:r>
      <w:r w:rsidR="00C917DB" w:rsidRPr="00096CB6">
        <w:rPr>
          <w:sz w:val="24"/>
          <w:szCs w:val="24"/>
        </w:rPr>
        <w:t xml:space="preserve"> </w:t>
      </w:r>
      <w:r w:rsidR="007A66C0" w:rsidRPr="00096CB6">
        <w:rPr>
          <w:sz w:val="24"/>
          <w:szCs w:val="24"/>
        </w:rPr>
        <w:t xml:space="preserve">long </w:t>
      </w:r>
      <w:r w:rsidR="00595BCB" w:rsidRPr="00096CB6">
        <w:rPr>
          <w:sz w:val="24"/>
          <w:szCs w:val="24"/>
        </w:rPr>
        <w:t xml:space="preserve">upward </w:t>
      </w:r>
      <w:r w:rsidR="00C917DB" w:rsidRPr="00096CB6">
        <w:rPr>
          <w:sz w:val="24"/>
          <w:szCs w:val="24"/>
        </w:rPr>
        <w:t>trend reversed</w:t>
      </w:r>
      <w:r w:rsidR="007B1F9F" w:rsidRPr="00096CB6">
        <w:rPr>
          <w:sz w:val="24"/>
          <w:szCs w:val="24"/>
        </w:rPr>
        <w:t>. A</w:t>
      </w:r>
      <w:r w:rsidR="001967B4" w:rsidRPr="00096CB6">
        <w:rPr>
          <w:sz w:val="24"/>
          <w:szCs w:val="24"/>
        </w:rPr>
        <w:t xml:space="preserve">s we document below, </w:t>
      </w:r>
      <w:r w:rsidR="00904000" w:rsidRPr="00096CB6">
        <w:rPr>
          <w:sz w:val="24"/>
          <w:szCs w:val="24"/>
        </w:rPr>
        <w:t xml:space="preserve">the number of </w:t>
      </w:r>
      <w:r w:rsidR="00042F3C">
        <w:rPr>
          <w:sz w:val="24"/>
          <w:szCs w:val="24"/>
        </w:rPr>
        <w:t>Black</w:t>
      </w:r>
      <w:r w:rsidR="009C58A0" w:rsidRPr="00096CB6">
        <w:rPr>
          <w:sz w:val="24"/>
          <w:szCs w:val="24"/>
        </w:rPr>
        <w:t xml:space="preserve"> undergraduates</w:t>
      </w:r>
      <w:r w:rsidR="00904000" w:rsidRPr="00096CB6">
        <w:rPr>
          <w:sz w:val="24"/>
          <w:szCs w:val="24"/>
        </w:rPr>
        <w:t xml:space="preserve"> enrolling in college ha</w:t>
      </w:r>
      <w:r w:rsidR="008F24E8" w:rsidRPr="00096CB6">
        <w:rPr>
          <w:sz w:val="24"/>
          <w:szCs w:val="24"/>
        </w:rPr>
        <w:t>s</w:t>
      </w:r>
      <w:r w:rsidR="00904000" w:rsidRPr="00096CB6">
        <w:rPr>
          <w:sz w:val="24"/>
          <w:szCs w:val="24"/>
        </w:rPr>
        <w:t xml:space="preserve"> </w:t>
      </w:r>
      <w:r w:rsidR="00583242" w:rsidRPr="00096CB6">
        <w:rPr>
          <w:sz w:val="24"/>
          <w:szCs w:val="24"/>
        </w:rPr>
        <w:t>fallen</w:t>
      </w:r>
      <w:r w:rsidR="00904000" w:rsidRPr="00096CB6">
        <w:rPr>
          <w:sz w:val="24"/>
          <w:szCs w:val="24"/>
        </w:rPr>
        <w:t xml:space="preserve"> </w:t>
      </w:r>
      <w:r w:rsidR="00401040" w:rsidRPr="00096CB6">
        <w:rPr>
          <w:sz w:val="24"/>
          <w:szCs w:val="24"/>
        </w:rPr>
        <w:t>year after year</w:t>
      </w:r>
      <w:r w:rsidR="00595BCB" w:rsidRPr="00096CB6">
        <w:rPr>
          <w:sz w:val="24"/>
          <w:szCs w:val="24"/>
        </w:rPr>
        <w:t xml:space="preserve"> </w:t>
      </w:r>
      <w:r w:rsidR="007A66C0" w:rsidRPr="00096CB6">
        <w:rPr>
          <w:sz w:val="24"/>
          <w:szCs w:val="24"/>
        </w:rPr>
        <w:t xml:space="preserve">since </w:t>
      </w:r>
      <w:r w:rsidR="007B1F9F" w:rsidRPr="00096CB6">
        <w:rPr>
          <w:sz w:val="24"/>
          <w:szCs w:val="24"/>
        </w:rPr>
        <w:t>2010</w:t>
      </w:r>
      <w:r w:rsidR="007A66C0" w:rsidRPr="00096CB6">
        <w:rPr>
          <w:sz w:val="24"/>
          <w:szCs w:val="24"/>
        </w:rPr>
        <w:t xml:space="preserve"> </w:t>
      </w:r>
      <w:r w:rsidR="00595BCB" w:rsidRPr="00096CB6">
        <w:rPr>
          <w:sz w:val="24"/>
          <w:szCs w:val="24"/>
        </w:rPr>
        <w:t xml:space="preserve">and </w:t>
      </w:r>
      <w:r w:rsidR="008F24E8" w:rsidRPr="00096CB6">
        <w:rPr>
          <w:sz w:val="24"/>
          <w:szCs w:val="24"/>
        </w:rPr>
        <w:t>is</w:t>
      </w:r>
      <w:r w:rsidR="00904000" w:rsidRPr="00096CB6">
        <w:rPr>
          <w:sz w:val="24"/>
          <w:szCs w:val="24"/>
        </w:rPr>
        <w:t xml:space="preserve"> now </w:t>
      </w:r>
      <w:r w:rsidR="0012574A" w:rsidRPr="00096CB6">
        <w:rPr>
          <w:sz w:val="24"/>
          <w:szCs w:val="24"/>
        </w:rPr>
        <w:t>9</w:t>
      </w:r>
      <w:r w:rsidR="00904000" w:rsidRPr="00096CB6">
        <w:rPr>
          <w:sz w:val="24"/>
          <w:szCs w:val="24"/>
        </w:rPr>
        <w:t>%</w:t>
      </w:r>
      <w:r w:rsidR="00583242" w:rsidRPr="00096CB6">
        <w:rPr>
          <w:sz w:val="24"/>
          <w:szCs w:val="24"/>
        </w:rPr>
        <w:t xml:space="preserve"> </w:t>
      </w:r>
      <w:r w:rsidR="003C5813">
        <w:rPr>
          <w:sz w:val="24"/>
          <w:szCs w:val="24"/>
        </w:rPr>
        <w:t xml:space="preserve">below its peak </w:t>
      </w:r>
      <w:r w:rsidR="0012574A" w:rsidRPr="00096CB6">
        <w:rPr>
          <w:sz w:val="24"/>
          <w:szCs w:val="24"/>
        </w:rPr>
        <w:t>(</w:t>
      </w:r>
      <w:r w:rsidR="003C5813">
        <w:rPr>
          <w:sz w:val="24"/>
          <w:szCs w:val="24"/>
        </w:rPr>
        <w:t xml:space="preserve">a decline of </w:t>
      </w:r>
      <w:r w:rsidR="0012574A" w:rsidRPr="00096CB6">
        <w:rPr>
          <w:sz w:val="24"/>
          <w:szCs w:val="24"/>
        </w:rPr>
        <w:t xml:space="preserve">about 202,000 </w:t>
      </w:r>
      <w:r>
        <w:rPr>
          <w:sz w:val="24"/>
          <w:szCs w:val="24"/>
        </w:rPr>
        <w:t xml:space="preserve">Black </w:t>
      </w:r>
      <w:r w:rsidR="0012574A" w:rsidRPr="00096CB6">
        <w:rPr>
          <w:sz w:val="24"/>
          <w:szCs w:val="24"/>
        </w:rPr>
        <w:t>students)</w:t>
      </w:r>
      <w:r w:rsidR="00401040" w:rsidRPr="00096CB6">
        <w:rPr>
          <w:sz w:val="24"/>
          <w:szCs w:val="24"/>
        </w:rPr>
        <w:t xml:space="preserve">, </w:t>
      </w:r>
      <w:r w:rsidR="00904000" w:rsidRPr="00096CB6">
        <w:rPr>
          <w:sz w:val="24"/>
          <w:szCs w:val="24"/>
        </w:rPr>
        <w:t xml:space="preserve">too large and too sustained a </w:t>
      </w:r>
      <w:r w:rsidR="00401040" w:rsidRPr="00096CB6">
        <w:rPr>
          <w:sz w:val="24"/>
          <w:szCs w:val="24"/>
        </w:rPr>
        <w:t>decline</w:t>
      </w:r>
      <w:r w:rsidR="00904000" w:rsidRPr="00096CB6">
        <w:rPr>
          <w:sz w:val="24"/>
          <w:szCs w:val="24"/>
        </w:rPr>
        <w:t xml:space="preserve"> to be dismissed as a temporary bl</w:t>
      </w:r>
      <w:r w:rsidR="008F24E8" w:rsidRPr="00096CB6">
        <w:rPr>
          <w:sz w:val="24"/>
          <w:szCs w:val="24"/>
        </w:rPr>
        <w:t>ip</w:t>
      </w:r>
      <w:r w:rsidR="00904000" w:rsidRPr="00096CB6">
        <w:rPr>
          <w:sz w:val="24"/>
          <w:szCs w:val="24"/>
        </w:rPr>
        <w:t xml:space="preserve">.  </w:t>
      </w:r>
      <w:r w:rsidR="003D6641" w:rsidRPr="00096CB6">
        <w:rPr>
          <w:sz w:val="24"/>
          <w:szCs w:val="24"/>
        </w:rPr>
        <w:t xml:space="preserve">This paper </w:t>
      </w:r>
      <w:r w:rsidR="00892D10" w:rsidRPr="00096CB6">
        <w:rPr>
          <w:sz w:val="24"/>
          <w:szCs w:val="24"/>
        </w:rPr>
        <w:t>investigates</w:t>
      </w:r>
      <w:r w:rsidR="003D6641" w:rsidRPr="00096CB6">
        <w:rPr>
          <w:sz w:val="24"/>
          <w:szCs w:val="24"/>
        </w:rPr>
        <w:t xml:space="preserve"> w</w:t>
      </w:r>
      <w:r w:rsidR="00401040" w:rsidRPr="00096CB6">
        <w:rPr>
          <w:sz w:val="24"/>
          <w:szCs w:val="24"/>
        </w:rPr>
        <w:t xml:space="preserve">hy the number </w:t>
      </w:r>
      <w:r w:rsidR="003D6641" w:rsidRPr="00096CB6">
        <w:rPr>
          <w:sz w:val="24"/>
          <w:szCs w:val="24"/>
        </w:rPr>
        <w:t xml:space="preserve">of </w:t>
      </w:r>
      <w:r w:rsidR="000F6AE2">
        <w:rPr>
          <w:sz w:val="24"/>
          <w:szCs w:val="24"/>
        </w:rPr>
        <w:t>Black</w:t>
      </w:r>
      <w:r w:rsidR="003D6641" w:rsidRPr="00096CB6">
        <w:rPr>
          <w:sz w:val="24"/>
          <w:szCs w:val="24"/>
        </w:rPr>
        <w:t xml:space="preserve"> students </w:t>
      </w:r>
      <w:r w:rsidR="00401040" w:rsidRPr="00096CB6">
        <w:rPr>
          <w:sz w:val="24"/>
          <w:szCs w:val="24"/>
        </w:rPr>
        <w:t xml:space="preserve">enrolling </w:t>
      </w:r>
      <w:r w:rsidR="005625B9" w:rsidRPr="00096CB6">
        <w:rPr>
          <w:sz w:val="24"/>
          <w:szCs w:val="24"/>
        </w:rPr>
        <w:t>in</w:t>
      </w:r>
      <w:r w:rsidR="00401040" w:rsidRPr="00096CB6">
        <w:rPr>
          <w:sz w:val="24"/>
          <w:szCs w:val="24"/>
        </w:rPr>
        <w:t xml:space="preserve"> college </w:t>
      </w:r>
      <w:r w:rsidR="007B1F9F" w:rsidRPr="00096CB6">
        <w:rPr>
          <w:sz w:val="24"/>
          <w:szCs w:val="24"/>
        </w:rPr>
        <w:t>ha</w:t>
      </w:r>
      <w:r w:rsidR="008F24E8" w:rsidRPr="00096CB6">
        <w:rPr>
          <w:sz w:val="24"/>
          <w:szCs w:val="24"/>
        </w:rPr>
        <w:t>s</w:t>
      </w:r>
      <w:r w:rsidR="007B1F9F" w:rsidRPr="00096CB6">
        <w:rPr>
          <w:sz w:val="24"/>
          <w:szCs w:val="24"/>
        </w:rPr>
        <w:t xml:space="preserve"> fallen</w:t>
      </w:r>
      <w:r w:rsidR="003D6641" w:rsidRPr="00096CB6">
        <w:rPr>
          <w:sz w:val="24"/>
          <w:szCs w:val="24"/>
        </w:rPr>
        <w:t xml:space="preserve"> and </w:t>
      </w:r>
      <w:r w:rsidR="00950CCC" w:rsidRPr="00096CB6">
        <w:rPr>
          <w:sz w:val="24"/>
          <w:szCs w:val="24"/>
        </w:rPr>
        <w:t xml:space="preserve">considers </w:t>
      </w:r>
      <w:r w:rsidR="007A66C0" w:rsidRPr="00096CB6">
        <w:rPr>
          <w:sz w:val="24"/>
          <w:szCs w:val="24"/>
        </w:rPr>
        <w:t xml:space="preserve">whether </w:t>
      </w:r>
      <w:r w:rsidR="003D6641" w:rsidRPr="00096CB6">
        <w:rPr>
          <w:sz w:val="24"/>
          <w:szCs w:val="24"/>
        </w:rPr>
        <w:t xml:space="preserve">this </w:t>
      </w:r>
      <w:r w:rsidR="00583242" w:rsidRPr="00096CB6">
        <w:rPr>
          <w:sz w:val="24"/>
          <w:szCs w:val="24"/>
        </w:rPr>
        <w:t>trend</w:t>
      </w:r>
      <w:r w:rsidR="003D6641" w:rsidRPr="00096CB6">
        <w:rPr>
          <w:sz w:val="24"/>
          <w:szCs w:val="24"/>
        </w:rPr>
        <w:t xml:space="preserve"> threaten</w:t>
      </w:r>
      <w:r w:rsidR="000974E2" w:rsidRPr="00096CB6">
        <w:rPr>
          <w:sz w:val="24"/>
          <w:szCs w:val="24"/>
        </w:rPr>
        <w:t>s</w:t>
      </w:r>
      <w:r w:rsidR="003D6641" w:rsidRPr="00096CB6">
        <w:rPr>
          <w:sz w:val="24"/>
          <w:szCs w:val="24"/>
        </w:rPr>
        <w:t xml:space="preserve"> </w:t>
      </w:r>
      <w:r w:rsidR="00583242" w:rsidRPr="00096CB6">
        <w:rPr>
          <w:sz w:val="24"/>
          <w:szCs w:val="24"/>
        </w:rPr>
        <w:t xml:space="preserve">the </w:t>
      </w:r>
      <w:r w:rsidR="003D6641" w:rsidRPr="00096CB6">
        <w:rPr>
          <w:sz w:val="24"/>
          <w:szCs w:val="24"/>
        </w:rPr>
        <w:t xml:space="preserve">economic </w:t>
      </w:r>
      <w:r w:rsidR="00583242" w:rsidRPr="00096CB6">
        <w:rPr>
          <w:sz w:val="24"/>
          <w:szCs w:val="24"/>
        </w:rPr>
        <w:t>future</w:t>
      </w:r>
      <w:r w:rsidR="007B1F9F" w:rsidRPr="00096CB6">
        <w:rPr>
          <w:sz w:val="24"/>
          <w:szCs w:val="24"/>
        </w:rPr>
        <w:t xml:space="preserve"> of the </w:t>
      </w:r>
      <w:r w:rsidR="009E3360">
        <w:rPr>
          <w:sz w:val="24"/>
          <w:szCs w:val="24"/>
        </w:rPr>
        <w:t>Black</w:t>
      </w:r>
      <w:r w:rsidR="007B1F9F" w:rsidRPr="00096CB6">
        <w:rPr>
          <w:sz w:val="24"/>
          <w:szCs w:val="24"/>
        </w:rPr>
        <w:t xml:space="preserve"> community</w:t>
      </w:r>
      <w:r w:rsidR="003D6641" w:rsidRPr="00096CB6">
        <w:rPr>
          <w:sz w:val="24"/>
          <w:szCs w:val="24"/>
        </w:rPr>
        <w:t xml:space="preserve">. </w:t>
      </w:r>
      <w:r w:rsidR="00401040" w:rsidRPr="00096CB6">
        <w:rPr>
          <w:sz w:val="24"/>
          <w:szCs w:val="24"/>
        </w:rPr>
        <w:t xml:space="preserve"> </w:t>
      </w:r>
    </w:p>
    <w:p w14:paraId="7DD3EAFF" w14:textId="20D23603" w:rsidR="00506644" w:rsidRPr="00096CB6" w:rsidRDefault="008F24E8">
      <w:pPr>
        <w:rPr>
          <w:sz w:val="24"/>
          <w:szCs w:val="24"/>
        </w:rPr>
      </w:pPr>
      <w:r w:rsidRPr="00096CB6">
        <w:rPr>
          <w:sz w:val="24"/>
          <w:szCs w:val="24"/>
        </w:rPr>
        <w:t>We</w:t>
      </w:r>
      <w:r w:rsidR="00506644" w:rsidRPr="00096CB6">
        <w:rPr>
          <w:sz w:val="24"/>
          <w:szCs w:val="24"/>
        </w:rPr>
        <w:t xml:space="preserve"> </w:t>
      </w:r>
      <w:r w:rsidR="00110914" w:rsidRPr="00096CB6">
        <w:rPr>
          <w:sz w:val="24"/>
          <w:szCs w:val="24"/>
        </w:rPr>
        <w:t>draw</w:t>
      </w:r>
      <w:r w:rsidRPr="00096CB6">
        <w:rPr>
          <w:sz w:val="24"/>
          <w:szCs w:val="24"/>
        </w:rPr>
        <w:t xml:space="preserve"> </w:t>
      </w:r>
      <w:r w:rsidR="007301EB" w:rsidRPr="00096CB6">
        <w:rPr>
          <w:sz w:val="24"/>
          <w:szCs w:val="24"/>
        </w:rPr>
        <w:t>upon</w:t>
      </w:r>
      <w:r w:rsidR="00506644" w:rsidRPr="00096CB6">
        <w:rPr>
          <w:sz w:val="24"/>
          <w:szCs w:val="24"/>
        </w:rPr>
        <w:t xml:space="preserve"> </w:t>
      </w:r>
      <w:r w:rsidRPr="00096CB6">
        <w:rPr>
          <w:sz w:val="24"/>
          <w:szCs w:val="24"/>
        </w:rPr>
        <w:t>multiple data sources</w:t>
      </w:r>
      <w:r w:rsidR="007A66C0" w:rsidRPr="00096CB6">
        <w:rPr>
          <w:sz w:val="24"/>
          <w:szCs w:val="24"/>
        </w:rPr>
        <w:t xml:space="preserve"> </w:t>
      </w:r>
      <w:r w:rsidR="00506644" w:rsidRPr="00096CB6">
        <w:rPr>
          <w:sz w:val="24"/>
          <w:szCs w:val="24"/>
        </w:rPr>
        <w:t>to</w:t>
      </w:r>
      <w:r w:rsidR="005625B9" w:rsidRPr="00096CB6">
        <w:rPr>
          <w:sz w:val="24"/>
          <w:szCs w:val="24"/>
        </w:rPr>
        <w:t xml:space="preserve"> identify the underlying causes of th</w:t>
      </w:r>
      <w:r w:rsidR="009E03EC">
        <w:rPr>
          <w:sz w:val="24"/>
          <w:szCs w:val="24"/>
        </w:rPr>
        <w:t>is</w:t>
      </w:r>
      <w:r w:rsidR="005625B9" w:rsidRPr="00096CB6">
        <w:rPr>
          <w:sz w:val="24"/>
          <w:szCs w:val="24"/>
        </w:rPr>
        <w:t xml:space="preserve"> shortfall</w:t>
      </w:r>
      <w:r w:rsidRPr="00096CB6">
        <w:rPr>
          <w:sz w:val="24"/>
          <w:szCs w:val="24"/>
        </w:rPr>
        <w:t>, first</w:t>
      </w:r>
      <w:r w:rsidR="000974E2" w:rsidRPr="00096CB6">
        <w:rPr>
          <w:sz w:val="24"/>
          <w:szCs w:val="24"/>
        </w:rPr>
        <w:t xml:space="preserve"> </w:t>
      </w:r>
      <w:r w:rsidR="00110914" w:rsidRPr="00096CB6">
        <w:rPr>
          <w:sz w:val="24"/>
          <w:szCs w:val="24"/>
        </w:rPr>
        <w:t>asking</w:t>
      </w:r>
      <w:r w:rsidR="005625B9" w:rsidRPr="00096CB6">
        <w:rPr>
          <w:sz w:val="24"/>
          <w:szCs w:val="24"/>
        </w:rPr>
        <w:t xml:space="preserve"> whether demographic trends – the number of </w:t>
      </w:r>
      <w:r w:rsidR="00BA4F75">
        <w:rPr>
          <w:sz w:val="24"/>
          <w:szCs w:val="24"/>
        </w:rPr>
        <w:t>Black</w:t>
      </w:r>
      <w:r w:rsidR="005625B9" w:rsidRPr="00096CB6">
        <w:rPr>
          <w:sz w:val="24"/>
          <w:szCs w:val="24"/>
        </w:rPr>
        <w:t xml:space="preserve"> children born each year – </w:t>
      </w:r>
      <w:r w:rsidRPr="00096CB6">
        <w:rPr>
          <w:sz w:val="24"/>
          <w:szCs w:val="24"/>
        </w:rPr>
        <w:t xml:space="preserve">account for </w:t>
      </w:r>
      <w:r w:rsidR="005625B9" w:rsidRPr="00096CB6">
        <w:rPr>
          <w:sz w:val="24"/>
          <w:szCs w:val="24"/>
        </w:rPr>
        <w:t xml:space="preserve">the shrinkage. </w:t>
      </w:r>
      <w:r w:rsidR="00514AD9" w:rsidRPr="00096CB6">
        <w:rPr>
          <w:sz w:val="24"/>
          <w:szCs w:val="24"/>
        </w:rPr>
        <w:t>We</w:t>
      </w:r>
      <w:r w:rsidR="001B268A" w:rsidRPr="00096CB6">
        <w:rPr>
          <w:sz w:val="24"/>
          <w:szCs w:val="24"/>
        </w:rPr>
        <w:t xml:space="preserve"> </w:t>
      </w:r>
      <w:r w:rsidR="008C4F59">
        <w:rPr>
          <w:sz w:val="24"/>
          <w:szCs w:val="24"/>
        </w:rPr>
        <w:t xml:space="preserve">then </w:t>
      </w:r>
      <w:r w:rsidR="008702AB" w:rsidRPr="00096CB6">
        <w:rPr>
          <w:sz w:val="24"/>
          <w:szCs w:val="24"/>
        </w:rPr>
        <w:t>investigate</w:t>
      </w:r>
      <w:r w:rsidR="00595BCB" w:rsidRPr="00096CB6">
        <w:rPr>
          <w:sz w:val="24"/>
          <w:szCs w:val="24"/>
        </w:rPr>
        <w:t xml:space="preserve"> whether the </w:t>
      </w:r>
      <w:r w:rsidR="00892D10" w:rsidRPr="00096CB6">
        <w:rPr>
          <w:sz w:val="24"/>
          <w:szCs w:val="24"/>
        </w:rPr>
        <w:t>decrease</w:t>
      </w:r>
      <w:r w:rsidR="00595BCB" w:rsidRPr="00096CB6">
        <w:rPr>
          <w:sz w:val="24"/>
          <w:szCs w:val="24"/>
        </w:rPr>
        <w:t xml:space="preserve"> </w:t>
      </w:r>
      <w:r w:rsidR="001863DC">
        <w:rPr>
          <w:sz w:val="24"/>
          <w:szCs w:val="24"/>
        </w:rPr>
        <w:t>results from</w:t>
      </w:r>
      <w:r w:rsidR="00595BCB" w:rsidRPr="00096CB6">
        <w:rPr>
          <w:sz w:val="24"/>
          <w:szCs w:val="24"/>
        </w:rPr>
        <w:t xml:space="preserve"> a </w:t>
      </w:r>
      <w:r w:rsidR="001F5DBF" w:rsidRPr="00096CB6">
        <w:rPr>
          <w:sz w:val="24"/>
          <w:szCs w:val="24"/>
        </w:rPr>
        <w:t>drop</w:t>
      </w:r>
      <w:r w:rsidR="00595BCB" w:rsidRPr="00096CB6">
        <w:rPr>
          <w:sz w:val="24"/>
          <w:szCs w:val="24"/>
        </w:rPr>
        <w:t xml:space="preserve"> in high school graduat</w:t>
      </w:r>
      <w:r w:rsidR="00815F5E" w:rsidRPr="00096CB6">
        <w:rPr>
          <w:sz w:val="24"/>
          <w:szCs w:val="24"/>
        </w:rPr>
        <w:t>ion</w:t>
      </w:r>
      <w:r w:rsidR="001B268A" w:rsidRPr="00096CB6">
        <w:rPr>
          <w:sz w:val="24"/>
          <w:szCs w:val="24"/>
        </w:rPr>
        <w:t xml:space="preserve"> rates</w:t>
      </w:r>
      <w:r w:rsidR="00595BCB" w:rsidRPr="00096CB6">
        <w:rPr>
          <w:sz w:val="24"/>
          <w:szCs w:val="24"/>
        </w:rPr>
        <w:t xml:space="preserve">, or in the proportion of </w:t>
      </w:r>
      <w:r w:rsidR="00BA4F75">
        <w:rPr>
          <w:sz w:val="24"/>
          <w:szCs w:val="24"/>
        </w:rPr>
        <w:t>Black</w:t>
      </w:r>
      <w:r w:rsidR="00004BBB" w:rsidRPr="00096CB6">
        <w:rPr>
          <w:sz w:val="24"/>
          <w:szCs w:val="24"/>
        </w:rPr>
        <w:t xml:space="preserve"> </w:t>
      </w:r>
      <w:r w:rsidR="00595BCB" w:rsidRPr="00096CB6">
        <w:rPr>
          <w:sz w:val="24"/>
          <w:szCs w:val="24"/>
        </w:rPr>
        <w:t xml:space="preserve">graduates proceeding </w:t>
      </w:r>
      <w:r w:rsidR="00D94F22" w:rsidRPr="00096CB6">
        <w:rPr>
          <w:sz w:val="24"/>
          <w:szCs w:val="24"/>
        </w:rPr>
        <w:t xml:space="preserve">immediately </w:t>
      </w:r>
      <w:r w:rsidR="00595BCB" w:rsidRPr="00096CB6">
        <w:rPr>
          <w:sz w:val="24"/>
          <w:szCs w:val="24"/>
        </w:rPr>
        <w:t xml:space="preserve">from high school into college, or whether </w:t>
      </w:r>
      <w:r w:rsidR="000974E2" w:rsidRPr="00096CB6">
        <w:rPr>
          <w:sz w:val="24"/>
          <w:szCs w:val="24"/>
        </w:rPr>
        <w:t xml:space="preserve">shrinking </w:t>
      </w:r>
      <w:r w:rsidR="007B1F9F" w:rsidRPr="00096CB6">
        <w:rPr>
          <w:sz w:val="24"/>
          <w:szCs w:val="24"/>
        </w:rPr>
        <w:t xml:space="preserve">college </w:t>
      </w:r>
      <w:r w:rsidR="000974E2" w:rsidRPr="00096CB6">
        <w:rPr>
          <w:sz w:val="24"/>
          <w:szCs w:val="24"/>
        </w:rPr>
        <w:t>enrollments</w:t>
      </w:r>
      <w:r w:rsidR="00595BCB" w:rsidRPr="00096CB6">
        <w:rPr>
          <w:sz w:val="24"/>
          <w:szCs w:val="24"/>
        </w:rPr>
        <w:t xml:space="preserve"> </w:t>
      </w:r>
      <w:r w:rsidR="001863DC">
        <w:rPr>
          <w:sz w:val="24"/>
          <w:szCs w:val="24"/>
        </w:rPr>
        <w:t>reflect</w:t>
      </w:r>
      <w:r w:rsidR="007301EB" w:rsidRPr="00096CB6">
        <w:rPr>
          <w:sz w:val="24"/>
          <w:szCs w:val="24"/>
        </w:rPr>
        <w:t xml:space="preserve"> </w:t>
      </w:r>
      <w:r w:rsidR="00892D10" w:rsidRPr="00096CB6">
        <w:rPr>
          <w:sz w:val="24"/>
          <w:szCs w:val="24"/>
        </w:rPr>
        <w:t>higher</w:t>
      </w:r>
      <w:r w:rsidR="00815F5E" w:rsidRPr="00096CB6">
        <w:rPr>
          <w:sz w:val="24"/>
          <w:szCs w:val="24"/>
        </w:rPr>
        <w:t xml:space="preserve"> </w:t>
      </w:r>
      <w:r w:rsidR="00595BCB" w:rsidRPr="00096CB6">
        <w:rPr>
          <w:sz w:val="24"/>
          <w:szCs w:val="24"/>
        </w:rPr>
        <w:t>drop</w:t>
      </w:r>
      <w:r w:rsidR="00D94F22" w:rsidRPr="00096CB6">
        <w:rPr>
          <w:sz w:val="24"/>
          <w:szCs w:val="24"/>
        </w:rPr>
        <w:t>-</w:t>
      </w:r>
      <w:r w:rsidR="00595BCB" w:rsidRPr="00096CB6">
        <w:rPr>
          <w:sz w:val="24"/>
          <w:szCs w:val="24"/>
        </w:rPr>
        <w:t xml:space="preserve">out rates among </w:t>
      </w:r>
      <w:r w:rsidR="00BA4F75">
        <w:rPr>
          <w:sz w:val="24"/>
          <w:szCs w:val="24"/>
        </w:rPr>
        <w:t>Black</w:t>
      </w:r>
      <w:r w:rsidR="00595BCB" w:rsidRPr="00096CB6">
        <w:rPr>
          <w:sz w:val="24"/>
          <w:szCs w:val="24"/>
        </w:rPr>
        <w:t xml:space="preserve"> </w:t>
      </w:r>
      <w:r w:rsidR="00D94F22" w:rsidRPr="00096CB6">
        <w:rPr>
          <w:sz w:val="24"/>
          <w:szCs w:val="24"/>
        </w:rPr>
        <w:t>students already in college.</w:t>
      </w:r>
      <w:r w:rsidR="00F623E6" w:rsidRPr="00096CB6">
        <w:rPr>
          <w:sz w:val="24"/>
          <w:szCs w:val="24"/>
        </w:rPr>
        <w:t xml:space="preserve"> </w:t>
      </w:r>
      <w:r w:rsidR="003005C7" w:rsidRPr="00096CB6">
        <w:rPr>
          <w:sz w:val="24"/>
          <w:szCs w:val="24"/>
        </w:rPr>
        <w:t xml:space="preserve">We also compare different sectors of higher education, to see whether enrollment declines have occurred across the board or are concentrated in for-profit colleges, or at public community colleges, or at historically </w:t>
      </w:r>
      <w:r w:rsidR="003005C7">
        <w:rPr>
          <w:sz w:val="24"/>
          <w:szCs w:val="24"/>
        </w:rPr>
        <w:t>Black</w:t>
      </w:r>
      <w:r w:rsidR="003005C7" w:rsidRPr="00096CB6">
        <w:rPr>
          <w:sz w:val="24"/>
          <w:szCs w:val="24"/>
        </w:rPr>
        <w:t xml:space="preserve"> colleges and universities (HBCUs). </w:t>
      </w:r>
      <w:r w:rsidR="00F623E6" w:rsidRPr="00096CB6">
        <w:rPr>
          <w:sz w:val="24"/>
          <w:szCs w:val="24"/>
        </w:rPr>
        <w:t xml:space="preserve">Finally, we </w:t>
      </w:r>
      <w:r w:rsidR="00110914" w:rsidRPr="00096CB6">
        <w:rPr>
          <w:sz w:val="24"/>
          <w:szCs w:val="24"/>
        </w:rPr>
        <w:t>consider</w:t>
      </w:r>
      <w:r w:rsidR="00F623E6" w:rsidRPr="00096CB6">
        <w:rPr>
          <w:sz w:val="24"/>
          <w:szCs w:val="24"/>
        </w:rPr>
        <w:t xml:space="preserve"> whether </w:t>
      </w:r>
      <w:r w:rsidR="00110914" w:rsidRPr="00096CB6">
        <w:rPr>
          <w:sz w:val="24"/>
          <w:szCs w:val="24"/>
        </w:rPr>
        <w:t>shrinking enrollments</w:t>
      </w:r>
      <w:r w:rsidR="00F623E6" w:rsidRPr="00096CB6">
        <w:rPr>
          <w:sz w:val="24"/>
          <w:szCs w:val="24"/>
        </w:rPr>
        <w:t xml:space="preserve"> </w:t>
      </w:r>
      <w:r w:rsidR="00D94F22" w:rsidRPr="00096CB6">
        <w:rPr>
          <w:sz w:val="24"/>
          <w:szCs w:val="24"/>
        </w:rPr>
        <w:t>might have</w:t>
      </w:r>
      <w:r w:rsidR="00F623E6" w:rsidRPr="00096CB6">
        <w:rPr>
          <w:sz w:val="24"/>
          <w:szCs w:val="24"/>
        </w:rPr>
        <w:t xml:space="preserve"> a </w:t>
      </w:r>
      <w:r w:rsidR="00D94F22" w:rsidRPr="00096CB6">
        <w:rPr>
          <w:sz w:val="24"/>
          <w:szCs w:val="24"/>
        </w:rPr>
        <w:t>silver lining</w:t>
      </w:r>
      <w:r w:rsidR="00F623E6" w:rsidRPr="00096CB6">
        <w:rPr>
          <w:sz w:val="24"/>
          <w:szCs w:val="24"/>
        </w:rPr>
        <w:t xml:space="preserve">: </w:t>
      </w:r>
      <w:r w:rsidR="00D57225" w:rsidRPr="00096CB6">
        <w:rPr>
          <w:sz w:val="24"/>
          <w:szCs w:val="24"/>
        </w:rPr>
        <w:t>H</w:t>
      </w:r>
      <w:r w:rsidR="00347F45" w:rsidRPr="00096CB6">
        <w:rPr>
          <w:sz w:val="24"/>
          <w:szCs w:val="24"/>
        </w:rPr>
        <w:t>as a</w:t>
      </w:r>
      <w:r w:rsidR="00F623E6" w:rsidRPr="00096CB6">
        <w:rPr>
          <w:sz w:val="24"/>
          <w:szCs w:val="24"/>
        </w:rPr>
        <w:t xml:space="preserve"> booming economy generated </w:t>
      </w:r>
      <w:r w:rsidR="007E5923" w:rsidRPr="00096CB6">
        <w:rPr>
          <w:sz w:val="24"/>
          <w:szCs w:val="24"/>
        </w:rPr>
        <w:t>enough</w:t>
      </w:r>
      <w:r w:rsidR="00F623E6" w:rsidRPr="00096CB6">
        <w:rPr>
          <w:sz w:val="24"/>
          <w:szCs w:val="24"/>
        </w:rPr>
        <w:t xml:space="preserve"> jobs that</w:t>
      </w:r>
      <w:r w:rsidR="007E5923" w:rsidRPr="00096CB6">
        <w:rPr>
          <w:sz w:val="24"/>
          <w:szCs w:val="24"/>
        </w:rPr>
        <w:t xml:space="preserve"> </w:t>
      </w:r>
      <w:r w:rsidR="00892D10" w:rsidRPr="00096CB6">
        <w:rPr>
          <w:sz w:val="24"/>
          <w:szCs w:val="24"/>
        </w:rPr>
        <w:t xml:space="preserve">more </w:t>
      </w:r>
      <w:r w:rsidR="00042F3C">
        <w:rPr>
          <w:sz w:val="24"/>
          <w:szCs w:val="24"/>
        </w:rPr>
        <w:t xml:space="preserve">Black </w:t>
      </w:r>
      <w:r w:rsidR="007B1F9F" w:rsidRPr="00096CB6">
        <w:rPr>
          <w:sz w:val="24"/>
          <w:szCs w:val="24"/>
        </w:rPr>
        <w:t>Americans</w:t>
      </w:r>
      <w:r w:rsidR="00F623E6" w:rsidRPr="00096CB6">
        <w:rPr>
          <w:sz w:val="24"/>
          <w:szCs w:val="24"/>
        </w:rPr>
        <w:t xml:space="preserve"> are being drawn into the labor market</w:t>
      </w:r>
      <w:r w:rsidR="008702AB" w:rsidRPr="00096CB6">
        <w:rPr>
          <w:sz w:val="24"/>
          <w:szCs w:val="24"/>
        </w:rPr>
        <w:t xml:space="preserve"> instead of</w:t>
      </w:r>
      <w:r w:rsidR="00F623E6" w:rsidRPr="00096CB6">
        <w:rPr>
          <w:sz w:val="24"/>
          <w:szCs w:val="24"/>
        </w:rPr>
        <w:t xml:space="preserve"> </w:t>
      </w:r>
      <w:r w:rsidR="003F5B75">
        <w:rPr>
          <w:sz w:val="24"/>
          <w:szCs w:val="24"/>
        </w:rPr>
        <w:t xml:space="preserve">to </w:t>
      </w:r>
      <w:r w:rsidR="00F623E6" w:rsidRPr="00096CB6">
        <w:rPr>
          <w:sz w:val="24"/>
          <w:szCs w:val="24"/>
        </w:rPr>
        <w:t>college?</w:t>
      </w:r>
    </w:p>
    <w:p w14:paraId="1A833EE7" w14:textId="137C066B" w:rsidR="0009381A" w:rsidRPr="00096CB6" w:rsidRDefault="000D4E76">
      <w:pPr>
        <w:rPr>
          <w:sz w:val="24"/>
          <w:szCs w:val="24"/>
        </w:rPr>
      </w:pPr>
      <w:r w:rsidRPr="00096CB6">
        <w:rPr>
          <w:sz w:val="24"/>
          <w:szCs w:val="24"/>
        </w:rPr>
        <w:t xml:space="preserve">The </w:t>
      </w:r>
      <w:r w:rsidR="00EF3F4C">
        <w:rPr>
          <w:sz w:val="24"/>
          <w:szCs w:val="24"/>
        </w:rPr>
        <w:t>first</w:t>
      </w:r>
      <w:r w:rsidRPr="00096CB6">
        <w:rPr>
          <w:sz w:val="24"/>
          <w:szCs w:val="24"/>
        </w:rPr>
        <w:t xml:space="preserve"> section of th</w:t>
      </w:r>
      <w:r w:rsidR="00E6374A">
        <w:rPr>
          <w:sz w:val="24"/>
          <w:szCs w:val="24"/>
        </w:rPr>
        <w:t xml:space="preserve">is </w:t>
      </w:r>
      <w:r w:rsidRPr="00096CB6">
        <w:rPr>
          <w:sz w:val="24"/>
          <w:szCs w:val="24"/>
        </w:rPr>
        <w:t>paper provides</w:t>
      </w:r>
      <w:r w:rsidR="0009381A" w:rsidRPr="00096CB6">
        <w:rPr>
          <w:sz w:val="24"/>
          <w:szCs w:val="24"/>
        </w:rPr>
        <w:t xml:space="preserve"> a</w:t>
      </w:r>
      <w:r w:rsidRPr="00096CB6">
        <w:rPr>
          <w:sz w:val="24"/>
          <w:szCs w:val="24"/>
        </w:rPr>
        <w:t xml:space="preserve"> </w:t>
      </w:r>
      <w:r w:rsidR="00004BBB" w:rsidRPr="00096CB6">
        <w:rPr>
          <w:sz w:val="24"/>
          <w:szCs w:val="24"/>
        </w:rPr>
        <w:t>sketch</w:t>
      </w:r>
      <w:r w:rsidR="0009381A" w:rsidRPr="00096CB6">
        <w:rPr>
          <w:sz w:val="24"/>
          <w:szCs w:val="24"/>
        </w:rPr>
        <w:t xml:space="preserve"> of the current educational </w:t>
      </w:r>
      <w:r w:rsidR="00892D10" w:rsidRPr="00096CB6">
        <w:rPr>
          <w:sz w:val="24"/>
          <w:szCs w:val="24"/>
        </w:rPr>
        <w:t>circumstances</w:t>
      </w:r>
      <w:r w:rsidR="0009381A" w:rsidRPr="00096CB6">
        <w:rPr>
          <w:sz w:val="24"/>
          <w:szCs w:val="24"/>
        </w:rPr>
        <w:t xml:space="preserve"> of the </w:t>
      </w:r>
      <w:r w:rsidR="00BA4F75">
        <w:rPr>
          <w:sz w:val="24"/>
          <w:szCs w:val="24"/>
        </w:rPr>
        <w:t>Black</w:t>
      </w:r>
      <w:r w:rsidR="0009381A" w:rsidRPr="00096CB6">
        <w:rPr>
          <w:sz w:val="24"/>
          <w:szCs w:val="24"/>
        </w:rPr>
        <w:t xml:space="preserve"> community as a whole, </w:t>
      </w:r>
      <w:r w:rsidR="004B0300" w:rsidRPr="00096CB6">
        <w:rPr>
          <w:sz w:val="24"/>
          <w:szCs w:val="24"/>
        </w:rPr>
        <w:t>summariz</w:t>
      </w:r>
      <w:r w:rsidR="00E6374A">
        <w:rPr>
          <w:sz w:val="24"/>
          <w:szCs w:val="24"/>
        </w:rPr>
        <w:t>ing</w:t>
      </w:r>
      <w:r w:rsidR="004B0300" w:rsidRPr="00096CB6">
        <w:rPr>
          <w:sz w:val="24"/>
          <w:szCs w:val="24"/>
        </w:rPr>
        <w:t xml:space="preserve"> the </w:t>
      </w:r>
      <w:r w:rsidR="00D57225" w:rsidRPr="00096CB6">
        <w:rPr>
          <w:sz w:val="24"/>
          <w:szCs w:val="24"/>
        </w:rPr>
        <w:t>research</w:t>
      </w:r>
      <w:r w:rsidR="004B0300" w:rsidRPr="00096CB6">
        <w:rPr>
          <w:sz w:val="24"/>
          <w:szCs w:val="24"/>
        </w:rPr>
        <w:t xml:space="preserve"> literature on that topic, </w:t>
      </w:r>
      <w:r w:rsidR="009848D0" w:rsidRPr="00096CB6">
        <w:rPr>
          <w:sz w:val="24"/>
          <w:szCs w:val="24"/>
        </w:rPr>
        <w:t xml:space="preserve">in order </w:t>
      </w:r>
      <w:r w:rsidR="0009381A" w:rsidRPr="00096CB6">
        <w:rPr>
          <w:sz w:val="24"/>
          <w:szCs w:val="24"/>
        </w:rPr>
        <w:t xml:space="preserve">to provide a </w:t>
      </w:r>
      <w:r w:rsidR="004B0300" w:rsidRPr="00096CB6">
        <w:rPr>
          <w:sz w:val="24"/>
          <w:szCs w:val="24"/>
        </w:rPr>
        <w:t xml:space="preserve">broader </w:t>
      </w:r>
      <w:r w:rsidR="0009381A" w:rsidRPr="00096CB6">
        <w:rPr>
          <w:sz w:val="24"/>
          <w:szCs w:val="24"/>
        </w:rPr>
        <w:t xml:space="preserve">context for </w:t>
      </w:r>
      <w:r w:rsidR="00BB5BA5">
        <w:rPr>
          <w:sz w:val="24"/>
          <w:szCs w:val="24"/>
        </w:rPr>
        <w:t>a</w:t>
      </w:r>
      <w:r w:rsidRPr="00096CB6">
        <w:rPr>
          <w:sz w:val="24"/>
          <w:szCs w:val="24"/>
        </w:rPr>
        <w:t xml:space="preserve"> following section </w:t>
      </w:r>
      <w:r w:rsidR="00D57225" w:rsidRPr="00096CB6">
        <w:rPr>
          <w:sz w:val="24"/>
          <w:szCs w:val="24"/>
        </w:rPr>
        <w:t xml:space="preserve">focused </w:t>
      </w:r>
      <w:r w:rsidRPr="00096CB6">
        <w:rPr>
          <w:sz w:val="24"/>
          <w:szCs w:val="24"/>
        </w:rPr>
        <w:t>on</w:t>
      </w:r>
      <w:r w:rsidR="0009381A" w:rsidRPr="00096CB6">
        <w:rPr>
          <w:sz w:val="24"/>
          <w:szCs w:val="24"/>
        </w:rPr>
        <w:t xml:space="preserve"> the recent reversal</w:t>
      </w:r>
      <w:r w:rsidR="009848D0" w:rsidRPr="00096CB6">
        <w:rPr>
          <w:sz w:val="24"/>
          <w:szCs w:val="24"/>
        </w:rPr>
        <w:t xml:space="preserve"> in enrollments</w:t>
      </w:r>
      <w:r w:rsidR="0009381A" w:rsidRPr="00096CB6">
        <w:rPr>
          <w:sz w:val="24"/>
          <w:szCs w:val="24"/>
        </w:rPr>
        <w:t>.</w:t>
      </w:r>
    </w:p>
    <w:p w14:paraId="34889C6A" w14:textId="77777777" w:rsidR="00234A14" w:rsidRDefault="00234A14">
      <w:pPr>
        <w:rPr>
          <w:b/>
          <w:bCs/>
          <w:sz w:val="24"/>
          <w:szCs w:val="24"/>
        </w:rPr>
      </w:pPr>
    </w:p>
    <w:p w14:paraId="46AD30BD" w14:textId="342CC4DA" w:rsidR="00D770C5" w:rsidRPr="00096CB6" w:rsidRDefault="00D770C5">
      <w:pPr>
        <w:rPr>
          <w:sz w:val="24"/>
          <w:szCs w:val="24"/>
        </w:rPr>
      </w:pPr>
      <w:r w:rsidRPr="00096CB6">
        <w:rPr>
          <w:b/>
          <w:bCs/>
          <w:sz w:val="24"/>
          <w:szCs w:val="24"/>
        </w:rPr>
        <w:lastRenderedPageBreak/>
        <w:t>Context</w:t>
      </w:r>
      <w:r w:rsidR="004B0300" w:rsidRPr="00096CB6">
        <w:rPr>
          <w:b/>
          <w:bCs/>
          <w:sz w:val="24"/>
          <w:szCs w:val="24"/>
        </w:rPr>
        <w:t xml:space="preserve"> &amp; Prior Literature</w:t>
      </w:r>
      <w:r w:rsidRPr="00096CB6">
        <w:rPr>
          <w:b/>
          <w:bCs/>
          <w:sz w:val="24"/>
          <w:szCs w:val="24"/>
        </w:rPr>
        <w:t>:</w:t>
      </w:r>
      <w:r w:rsidRPr="00096CB6">
        <w:rPr>
          <w:sz w:val="24"/>
          <w:szCs w:val="24"/>
        </w:rPr>
        <w:t xml:space="preserve"> </w:t>
      </w:r>
    </w:p>
    <w:p w14:paraId="0D50868B" w14:textId="5F63C389" w:rsidR="002268CA" w:rsidRDefault="00D82F15">
      <w:pPr>
        <w:rPr>
          <w:sz w:val="24"/>
          <w:szCs w:val="24"/>
        </w:rPr>
      </w:pPr>
      <w:r>
        <w:rPr>
          <w:sz w:val="24"/>
          <w:szCs w:val="24"/>
        </w:rPr>
        <w:t>Figure</w:t>
      </w:r>
      <w:r w:rsidR="007B1130" w:rsidRPr="00096CB6">
        <w:rPr>
          <w:sz w:val="24"/>
          <w:szCs w:val="24"/>
        </w:rPr>
        <w:t xml:space="preserve"> One</w:t>
      </w:r>
      <w:r w:rsidR="0094513E">
        <w:rPr>
          <w:sz w:val="24"/>
          <w:szCs w:val="24"/>
        </w:rPr>
        <w:t xml:space="preserve"> is</w:t>
      </w:r>
      <w:r>
        <w:rPr>
          <w:sz w:val="24"/>
          <w:szCs w:val="24"/>
        </w:rPr>
        <w:t xml:space="preserve"> reproduced from </w:t>
      </w:r>
      <w:r w:rsidR="00C13C06">
        <w:rPr>
          <w:sz w:val="24"/>
          <w:szCs w:val="24"/>
        </w:rPr>
        <w:t xml:space="preserve">a </w:t>
      </w:r>
      <w:r w:rsidR="00115688">
        <w:rPr>
          <w:sz w:val="24"/>
          <w:szCs w:val="24"/>
        </w:rPr>
        <w:t xml:space="preserve">recent </w:t>
      </w:r>
      <w:r w:rsidR="00C13C06">
        <w:rPr>
          <w:sz w:val="24"/>
          <w:szCs w:val="24"/>
        </w:rPr>
        <w:t xml:space="preserve">government report by </w:t>
      </w:r>
      <w:r>
        <w:rPr>
          <w:sz w:val="24"/>
          <w:szCs w:val="24"/>
        </w:rPr>
        <w:t>de</w:t>
      </w:r>
      <w:r w:rsidR="00C94784">
        <w:rPr>
          <w:sz w:val="24"/>
          <w:szCs w:val="24"/>
        </w:rPr>
        <w:t xml:space="preserve"> </w:t>
      </w:r>
      <w:r>
        <w:rPr>
          <w:sz w:val="24"/>
          <w:szCs w:val="24"/>
        </w:rPr>
        <w:t>Brey et al (2019)</w:t>
      </w:r>
      <w:r w:rsidR="0094513E">
        <w:rPr>
          <w:sz w:val="24"/>
          <w:szCs w:val="24"/>
        </w:rPr>
        <w:t xml:space="preserve"> and</w:t>
      </w:r>
      <w:r w:rsidR="007B1130" w:rsidRPr="00096CB6">
        <w:rPr>
          <w:sz w:val="24"/>
          <w:szCs w:val="24"/>
        </w:rPr>
        <w:t xml:space="preserve"> </w:t>
      </w:r>
      <w:r w:rsidR="00EF3F4C">
        <w:rPr>
          <w:sz w:val="24"/>
          <w:szCs w:val="24"/>
        </w:rPr>
        <w:t>portrays</w:t>
      </w:r>
      <w:r w:rsidR="007B1130" w:rsidRPr="00096CB6">
        <w:rPr>
          <w:sz w:val="24"/>
          <w:szCs w:val="24"/>
        </w:rPr>
        <w:t xml:space="preserve"> the level of educational attainment </w:t>
      </w:r>
      <w:r w:rsidR="00EF3F4C">
        <w:rPr>
          <w:sz w:val="24"/>
          <w:szCs w:val="24"/>
        </w:rPr>
        <w:t>for</w:t>
      </w:r>
      <w:r w:rsidR="007B1130" w:rsidRPr="00096CB6">
        <w:rPr>
          <w:sz w:val="24"/>
          <w:szCs w:val="24"/>
        </w:rPr>
        <w:t xml:space="preserve"> racial</w:t>
      </w:r>
      <w:r>
        <w:rPr>
          <w:sz w:val="24"/>
          <w:szCs w:val="24"/>
        </w:rPr>
        <w:t>/</w:t>
      </w:r>
      <w:r w:rsidR="007B1130" w:rsidRPr="00096CB6">
        <w:rPr>
          <w:sz w:val="24"/>
          <w:szCs w:val="24"/>
        </w:rPr>
        <w:t>ethnic groups in the United States</w:t>
      </w:r>
      <w:r>
        <w:rPr>
          <w:sz w:val="24"/>
          <w:szCs w:val="24"/>
        </w:rPr>
        <w:t xml:space="preserve">, for persons age 25 or older, based on data from </w:t>
      </w:r>
      <w:r w:rsidR="00EF3F4C">
        <w:rPr>
          <w:sz w:val="24"/>
          <w:szCs w:val="24"/>
        </w:rPr>
        <w:t>the US Census’ American Community S</w:t>
      </w:r>
      <w:r>
        <w:rPr>
          <w:sz w:val="24"/>
          <w:szCs w:val="24"/>
        </w:rPr>
        <w:t xml:space="preserve">urvey </w:t>
      </w:r>
      <w:r w:rsidR="00EF3F4C">
        <w:rPr>
          <w:sz w:val="24"/>
          <w:szCs w:val="24"/>
        </w:rPr>
        <w:t>of</w:t>
      </w:r>
      <w:r>
        <w:rPr>
          <w:sz w:val="24"/>
          <w:szCs w:val="24"/>
        </w:rPr>
        <w:t xml:space="preserve"> 2016.</w:t>
      </w:r>
    </w:p>
    <w:p w14:paraId="7387E40C" w14:textId="4643ABA9" w:rsidR="007B0A56" w:rsidRDefault="007B0A56" w:rsidP="007B0A56">
      <w:pPr>
        <w:rPr>
          <w:sz w:val="28"/>
          <w:szCs w:val="28"/>
        </w:rPr>
      </w:pPr>
      <w:r w:rsidRPr="00096CB6">
        <w:rPr>
          <w:sz w:val="24"/>
          <w:szCs w:val="24"/>
        </w:rPr>
        <w:t xml:space="preserve">One </w:t>
      </w:r>
      <w:r w:rsidR="00EF3F4C">
        <w:rPr>
          <w:sz w:val="24"/>
          <w:szCs w:val="24"/>
        </w:rPr>
        <w:t xml:space="preserve">important </w:t>
      </w:r>
      <w:r w:rsidRPr="00096CB6">
        <w:rPr>
          <w:sz w:val="24"/>
          <w:szCs w:val="24"/>
        </w:rPr>
        <w:t xml:space="preserve">feature is the large proportion of </w:t>
      </w:r>
      <w:r>
        <w:rPr>
          <w:sz w:val="24"/>
          <w:szCs w:val="24"/>
        </w:rPr>
        <w:t>Black</w:t>
      </w:r>
      <w:r w:rsidRPr="00096CB6">
        <w:rPr>
          <w:sz w:val="24"/>
          <w:szCs w:val="24"/>
        </w:rPr>
        <w:t xml:space="preserve"> adults </w:t>
      </w:r>
      <w:r>
        <w:rPr>
          <w:sz w:val="24"/>
          <w:szCs w:val="24"/>
        </w:rPr>
        <w:t xml:space="preserve">(25%) </w:t>
      </w:r>
      <w:r w:rsidRPr="00096CB6">
        <w:rPr>
          <w:sz w:val="24"/>
          <w:szCs w:val="24"/>
        </w:rPr>
        <w:t xml:space="preserve">who have attended college </w:t>
      </w:r>
      <w:r w:rsidR="0094513E">
        <w:rPr>
          <w:sz w:val="24"/>
          <w:szCs w:val="24"/>
        </w:rPr>
        <w:t xml:space="preserve">but </w:t>
      </w:r>
      <w:r w:rsidRPr="00096CB6">
        <w:rPr>
          <w:sz w:val="24"/>
          <w:szCs w:val="24"/>
        </w:rPr>
        <w:t>without completing a degree at either the associates or the bachelor’s level</w:t>
      </w:r>
      <w:r w:rsidR="00EF3F4C">
        <w:rPr>
          <w:sz w:val="24"/>
          <w:szCs w:val="24"/>
        </w:rPr>
        <w:t>.</w:t>
      </w:r>
      <w:r w:rsidRPr="00096CB6">
        <w:rPr>
          <w:sz w:val="24"/>
          <w:szCs w:val="24"/>
        </w:rPr>
        <w:t xml:space="preserve"> Government</w:t>
      </w:r>
      <w:r w:rsidR="00EF3F4C">
        <w:rPr>
          <w:sz w:val="24"/>
          <w:szCs w:val="24"/>
        </w:rPr>
        <w:t xml:space="preserve"> statistical agencies</w:t>
      </w:r>
      <w:r w:rsidRPr="00096CB6">
        <w:rPr>
          <w:sz w:val="24"/>
          <w:szCs w:val="24"/>
        </w:rPr>
        <w:t xml:space="preserve"> refer to this group as having “some college,” a category that includes </w:t>
      </w:r>
      <w:r w:rsidR="0094513E">
        <w:rPr>
          <w:sz w:val="24"/>
          <w:szCs w:val="24"/>
        </w:rPr>
        <w:t xml:space="preserve">some </w:t>
      </w:r>
      <w:r w:rsidRPr="00096CB6">
        <w:rPr>
          <w:sz w:val="24"/>
          <w:szCs w:val="24"/>
        </w:rPr>
        <w:t xml:space="preserve">individuals who receive a short-term credential (but less than an associate degree) combined with those </w:t>
      </w:r>
      <w:r w:rsidR="0094513E">
        <w:rPr>
          <w:sz w:val="24"/>
          <w:szCs w:val="24"/>
        </w:rPr>
        <w:t xml:space="preserve">in degree tracks </w:t>
      </w:r>
      <w:r w:rsidRPr="00096CB6">
        <w:rPr>
          <w:sz w:val="24"/>
          <w:szCs w:val="24"/>
        </w:rPr>
        <w:t>who left college with no credential whatsoever.</w:t>
      </w:r>
    </w:p>
    <w:p w14:paraId="3129F8DB" w14:textId="77777777" w:rsidR="007B0A56" w:rsidRDefault="007B0A56" w:rsidP="007B0A56">
      <w:pPr>
        <w:rPr>
          <w:sz w:val="28"/>
          <w:szCs w:val="28"/>
        </w:rPr>
      </w:pPr>
    </w:p>
    <w:p w14:paraId="1AA624AA" w14:textId="323CC832" w:rsidR="00D82F15" w:rsidRPr="007B0A56" w:rsidRDefault="007B0A56">
      <w:pPr>
        <w:rPr>
          <w:sz w:val="28"/>
          <w:szCs w:val="28"/>
        </w:rPr>
      </w:pPr>
      <w:r w:rsidRPr="00D82F15">
        <w:rPr>
          <w:sz w:val="28"/>
          <w:szCs w:val="28"/>
        </w:rPr>
        <w:t xml:space="preserve">Figure One: Educational Attainment of US adults </w:t>
      </w:r>
      <w:r>
        <w:rPr>
          <w:sz w:val="28"/>
          <w:szCs w:val="28"/>
        </w:rPr>
        <w:t xml:space="preserve">age 25 and older </w:t>
      </w:r>
      <w:r w:rsidRPr="00D82F15">
        <w:rPr>
          <w:sz w:val="28"/>
          <w:szCs w:val="28"/>
        </w:rPr>
        <w:t>by race and ethnicity, 2016.</w:t>
      </w:r>
    </w:p>
    <w:p w14:paraId="16296FA2" w14:textId="4567A61F" w:rsidR="00D82F15" w:rsidRDefault="007B0A56">
      <w:pPr>
        <w:rPr>
          <w:sz w:val="24"/>
          <w:szCs w:val="24"/>
        </w:rPr>
      </w:pPr>
      <w:r>
        <w:rPr>
          <w:noProof/>
        </w:rPr>
        <w:drawing>
          <wp:inline distT="0" distB="0" distL="0" distR="0" wp14:anchorId="345CDF29" wp14:editId="54931502">
            <wp:extent cx="5943600" cy="3550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50920"/>
                    </a:xfrm>
                    <a:prstGeom prst="rect">
                      <a:avLst/>
                    </a:prstGeom>
                  </pic:spPr>
                </pic:pic>
              </a:graphicData>
            </a:graphic>
          </wp:inline>
        </w:drawing>
      </w:r>
    </w:p>
    <w:p w14:paraId="426EECCC" w14:textId="051F4D7F" w:rsidR="007B1130" w:rsidRPr="00096CB6" w:rsidRDefault="0083533C">
      <w:pPr>
        <w:rPr>
          <w:sz w:val="24"/>
          <w:szCs w:val="24"/>
        </w:rPr>
      </w:pPr>
      <w:r w:rsidRPr="00096CB6">
        <w:rPr>
          <w:sz w:val="24"/>
          <w:szCs w:val="24"/>
        </w:rPr>
        <w:t xml:space="preserve">Scholars disagree whether attending </w:t>
      </w:r>
      <w:r w:rsidR="001005EC" w:rsidRPr="00096CB6">
        <w:rPr>
          <w:sz w:val="24"/>
          <w:szCs w:val="24"/>
        </w:rPr>
        <w:t xml:space="preserve">college without </w:t>
      </w:r>
      <w:r w:rsidR="00EF3F4C">
        <w:rPr>
          <w:sz w:val="24"/>
          <w:szCs w:val="24"/>
        </w:rPr>
        <w:t xml:space="preserve">completing </w:t>
      </w:r>
      <w:r w:rsidR="001005EC" w:rsidRPr="00096CB6">
        <w:rPr>
          <w:sz w:val="24"/>
          <w:szCs w:val="24"/>
        </w:rPr>
        <w:t xml:space="preserve">a </w:t>
      </w:r>
      <w:r w:rsidRPr="00096CB6">
        <w:rPr>
          <w:sz w:val="24"/>
          <w:szCs w:val="24"/>
        </w:rPr>
        <w:t>credential represents an economic step upward</w:t>
      </w:r>
      <w:r w:rsidR="00FA16CE">
        <w:rPr>
          <w:sz w:val="24"/>
          <w:szCs w:val="24"/>
        </w:rPr>
        <w:t>,</w:t>
      </w:r>
      <w:r w:rsidRPr="00096CB6">
        <w:rPr>
          <w:sz w:val="24"/>
          <w:szCs w:val="24"/>
        </w:rPr>
        <w:t xml:space="preserve"> compared to leaving </w:t>
      </w:r>
      <w:r w:rsidR="00DD510F">
        <w:rPr>
          <w:sz w:val="24"/>
          <w:szCs w:val="24"/>
        </w:rPr>
        <w:t>education immediately after graduating</w:t>
      </w:r>
      <w:r w:rsidRPr="00096CB6">
        <w:rPr>
          <w:sz w:val="24"/>
          <w:szCs w:val="24"/>
        </w:rPr>
        <w:t xml:space="preserve"> high school</w:t>
      </w:r>
      <w:r w:rsidR="00DD510F">
        <w:rPr>
          <w:sz w:val="24"/>
          <w:szCs w:val="24"/>
        </w:rPr>
        <w:t xml:space="preserve">, </w:t>
      </w:r>
      <w:r w:rsidR="00EF3F4C">
        <w:rPr>
          <w:sz w:val="24"/>
          <w:szCs w:val="24"/>
        </w:rPr>
        <w:t xml:space="preserve">or whether </w:t>
      </w:r>
      <w:r w:rsidR="00BA6044">
        <w:rPr>
          <w:sz w:val="24"/>
          <w:szCs w:val="24"/>
        </w:rPr>
        <w:t xml:space="preserve">incomplete college </w:t>
      </w:r>
      <w:r w:rsidR="00EF3F4C">
        <w:rPr>
          <w:sz w:val="24"/>
          <w:szCs w:val="24"/>
        </w:rPr>
        <w:t>implies a waste of the student’s time and money</w:t>
      </w:r>
      <w:r w:rsidRPr="00096CB6">
        <w:rPr>
          <w:sz w:val="24"/>
          <w:szCs w:val="24"/>
        </w:rPr>
        <w:t xml:space="preserve">. Our own research (Giani et al 2019) </w:t>
      </w:r>
      <w:r w:rsidR="00EF3F4C">
        <w:rPr>
          <w:sz w:val="24"/>
          <w:szCs w:val="24"/>
        </w:rPr>
        <w:t xml:space="preserve">has </w:t>
      </w:r>
      <w:r w:rsidRPr="00096CB6">
        <w:rPr>
          <w:sz w:val="24"/>
          <w:szCs w:val="24"/>
        </w:rPr>
        <w:t>show</w:t>
      </w:r>
      <w:r w:rsidR="00EF3F4C">
        <w:rPr>
          <w:sz w:val="24"/>
          <w:szCs w:val="24"/>
        </w:rPr>
        <w:t>n</w:t>
      </w:r>
      <w:r w:rsidRPr="00096CB6">
        <w:rPr>
          <w:sz w:val="24"/>
          <w:szCs w:val="24"/>
        </w:rPr>
        <w:t xml:space="preserve"> that </w:t>
      </w:r>
      <w:r w:rsidR="00A418C5">
        <w:rPr>
          <w:sz w:val="24"/>
          <w:szCs w:val="24"/>
        </w:rPr>
        <w:t xml:space="preserve">Black </w:t>
      </w:r>
      <w:r w:rsidRPr="00096CB6">
        <w:rPr>
          <w:sz w:val="24"/>
          <w:szCs w:val="24"/>
        </w:rPr>
        <w:t xml:space="preserve">Americans with some college </w:t>
      </w:r>
      <w:r w:rsidR="001005EC" w:rsidRPr="00096CB6">
        <w:rPr>
          <w:sz w:val="24"/>
          <w:szCs w:val="24"/>
        </w:rPr>
        <w:t xml:space="preserve">but no credential </w:t>
      </w:r>
      <w:r w:rsidRPr="00096CB6">
        <w:rPr>
          <w:sz w:val="24"/>
          <w:szCs w:val="24"/>
        </w:rPr>
        <w:t xml:space="preserve">are much more likely to find employment </w:t>
      </w:r>
      <w:r w:rsidR="00EF3F4C">
        <w:rPr>
          <w:sz w:val="24"/>
          <w:szCs w:val="24"/>
        </w:rPr>
        <w:t xml:space="preserve">years later </w:t>
      </w:r>
      <w:r w:rsidR="00FF5250">
        <w:rPr>
          <w:sz w:val="24"/>
          <w:szCs w:val="24"/>
        </w:rPr>
        <w:t>compared to</w:t>
      </w:r>
      <w:r w:rsidR="007F7ADF">
        <w:rPr>
          <w:sz w:val="24"/>
          <w:szCs w:val="24"/>
        </w:rPr>
        <w:t xml:space="preserve"> high school graduates who never </w:t>
      </w:r>
      <w:r w:rsidR="00EF3F4C">
        <w:rPr>
          <w:sz w:val="24"/>
          <w:szCs w:val="24"/>
        </w:rPr>
        <w:t>went</w:t>
      </w:r>
      <w:r w:rsidR="007F7ADF">
        <w:rPr>
          <w:sz w:val="24"/>
          <w:szCs w:val="24"/>
        </w:rPr>
        <w:t xml:space="preserve"> </w:t>
      </w:r>
      <w:r w:rsidR="00435C9E">
        <w:rPr>
          <w:sz w:val="24"/>
          <w:szCs w:val="24"/>
        </w:rPr>
        <w:t xml:space="preserve">on </w:t>
      </w:r>
      <w:r w:rsidR="007F7ADF">
        <w:rPr>
          <w:sz w:val="24"/>
          <w:szCs w:val="24"/>
        </w:rPr>
        <w:t>to college</w:t>
      </w:r>
      <w:r w:rsidR="00FF5250">
        <w:rPr>
          <w:sz w:val="24"/>
          <w:szCs w:val="24"/>
        </w:rPr>
        <w:t>. O</w:t>
      </w:r>
      <w:r w:rsidR="00435C9E">
        <w:rPr>
          <w:sz w:val="24"/>
          <w:szCs w:val="24"/>
        </w:rPr>
        <w:t>nce</w:t>
      </w:r>
      <w:r w:rsidRPr="00096CB6">
        <w:rPr>
          <w:sz w:val="24"/>
          <w:szCs w:val="24"/>
        </w:rPr>
        <w:t xml:space="preserve"> employed</w:t>
      </w:r>
      <w:r w:rsidR="00FF5250">
        <w:rPr>
          <w:sz w:val="24"/>
          <w:szCs w:val="24"/>
        </w:rPr>
        <w:t>,</w:t>
      </w:r>
      <w:r w:rsidR="00EF3F4C">
        <w:rPr>
          <w:sz w:val="24"/>
          <w:szCs w:val="24"/>
        </w:rPr>
        <w:t xml:space="preserve"> “some college” individuals </w:t>
      </w:r>
      <w:r w:rsidRPr="00096CB6">
        <w:rPr>
          <w:sz w:val="24"/>
          <w:szCs w:val="24"/>
        </w:rPr>
        <w:t>earn significantly more than high school graduates</w:t>
      </w:r>
      <w:r w:rsidR="001005EC" w:rsidRPr="00096CB6">
        <w:rPr>
          <w:sz w:val="24"/>
          <w:szCs w:val="24"/>
        </w:rPr>
        <w:t xml:space="preserve"> who never attended college</w:t>
      </w:r>
      <w:r w:rsidR="00EF3F4C">
        <w:rPr>
          <w:sz w:val="24"/>
          <w:szCs w:val="24"/>
        </w:rPr>
        <w:t xml:space="preserve"> at </w:t>
      </w:r>
      <w:r w:rsidR="00435C9E">
        <w:rPr>
          <w:sz w:val="24"/>
          <w:szCs w:val="24"/>
        </w:rPr>
        <w:t>all</w:t>
      </w:r>
      <w:r w:rsidRPr="00096CB6">
        <w:rPr>
          <w:sz w:val="24"/>
          <w:szCs w:val="24"/>
        </w:rPr>
        <w:t xml:space="preserve">.  </w:t>
      </w:r>
      <w:r w:rsidR="00EF3F4C">
        <w:rPr>
          <w:sz w:val="24"/>
          <w:szCs w:val="24"/>
        </w:rPr>
        <w:t xml:space="preserve">In other </w:t>
      </w:r>
      <w:r w:rsidR="00EF3F4C">
        <w:rPr>
          <w:sz w:val="24"/>
          <w:szCs w:val="24"/>
        </w:rPr>
        <w:lastRenderedPageBreak/>
        <w:t xml:space="preserve">words, </w:t>
      </w:r>
      <w:r w:rsidR="002236EE">
        <w:rPr>
          <w:sz w:val="24"/>
          <w:szCs w:val="24"/>
        </w:rPr>
        <w:t xml:space="preserve">in our judgement, </w:t>
      </w:r>
      <w:r w:rsidR="00EF3F4C">
        <w:rPr>
          <w:sz w:val="24"/>
          <w:szCs w:val="24"/>
        </w:rPr>
        <w:t>a</w:t>
      </w:r>
      <w:r w:rsidR="00BB5BA5">
        <w:rPr>
          <w:sz w:val="24"/>
          <w:szCs w:val="24"/>
        </w:rPr>
        <w:t xml:space="preserve">ttending college does “pay off” even for those who do not complete a credential. </w:t>
      </w:r>
      <w:r w:rsidRPr="00096CB6">
        <w:rPr>
          <w:sz w:val="24"/>
          <w:szCs w:val="24"/>
        </w:rPr>
        <w:t xml:space="preserve">But it is </w:t>
      </w:r>
      <w:r w:rsidR="00BB5BA5">
        <w:rPr>
          <w:sz w:val="24"/>
          <w:szCs w:val="24"/>
        </w:rPr>
        <w:t xml:space="preserve">also </w:t>
      </w:r>
      <w:r w:rsidRPr="00096CB6">
        <w:rPr>
          <w:sz w:val="24"/>
          <w:szCs w:val="24"/>
        </w:rPr>
        <w:t>clear that completing a degree – whether an Associates or a BA – pays off more</w:t>
      </w:r>
      <w:r w:rsidR="00B674A3" w:rsidRPr="00096CB6">
        <w:rPr>
          <w:sz w:val="24"/>
          <w:szCs w:val="24"/>
        </w:rPr>
        <w:t xml:space="preserve"> than </w:t>
      </w:r>
      <w:r w:rsidR="00BB5BA5">
        <w:rPr>
          <w:sz w:val="24"/>
          <w:szCs w:val="24"/>
        </w:rPr>
        <w:t xml:space="preserve">only </w:t>
      </w:r>
      <w:r w:rsidR="00B674A3" w:rsidRPr="00096CB6">
        <w:rPr>
          <w:sz w:val="24"/>
          <w:szCs w:val="24"/>
        </w:rPr>
        <w:t>“some college,”</w:t>
      </w:r>
      <w:r w:rsidRPr="00096CB6">
        <w:rPr>
          <w:sz w:val="24"/>
          <w:szCs w:val="24"/>
        </w:rPr>
        <w:t xml:space="preserve"> so the </w:t>
      </w:r>
      <w:r w:rsidR="00A85E83">
        <w:rPr>
          <w:sz w:val="24"/>
          <w:szCs w:val="24"/>
        </w:rPr>
        <w:t xml:space="preserve">unusually </w:t>
      </w:r>
      <w:r w:rsidRPr="00096CB6">
        <w:rPr>
          <w:sz w:val="24"/>
          <w:szCs w:val="24"/>
        </w:rPr>
        <w:t xml:space="preserve">large proportion of </w:t>
      </w:r>
      <w:r w:rsidR="00BA4F75">
        <w:rPr>
          <w:sz w:val="24"/>
          <w:szCs w:val="24"/>
        </w:rPr>
        <w:t>Black</w:t>
      </w:r>
      <w:r w:rsidR="00B674A3" w:rsidRPr="00096CB6">
        <w:rPr>
          <w:sz w:val="24"/>
          <w:szCs w:val="24"/>
        </w:rPr>
        <w:t xml:space="preserve"> college-goers who d</w:t>
      </w:r>
      <w:r w:rsidR="00A85E83">
        <w:rPr>
          <w:sz w:val="24"/>
          <w:szCs w:val="24"/>
        </w:rPr>
        <w:t>o</w:t>
      </w:r>
      <w:r w:rsidR="00B674A3" w:rsidRPr="00096CB6">
        <w:rPr>
          <w:sz w:val="24"/>
          <w:szCs w:val="24"/>
        </w:rPr>
        <w:t xml:space="preserve"> not complete a degree</w:t>
      </w:r>
      <w:r w:rsidRPr="00096CB6">
        <w:rPr>
          <w:sz w:val="24"/>
          <w:szCs w:val="24"/>
        </w:rPr>
        <w:t xml:space="preserve"> is </w:t>
      </w:r>
      <w:r w:rsidR="00561E75">
        <w:rPr>
          <w:sz w:val="24"/>
          <w:szCs w:val="24"/>
        </w:rPr>
        <w:t>still</w:t>
      </w:r>
      <w:r w:rsidR="007F7ADF">
        <w:rPr>
          <w:sz w:val="24"/>
          <w:szCs w:val="24"/>
        </w:rPr>
        <w:t xml:space="preserve"> </w:t>
      </w:r>
      <w:r w:rsidRPr="00096CB6">
        <w:rPr>
          <w:sz w:val="24"/>
          <w:szCs w:val="24"/>
        </w:rPr>
        <w:t xml:space="preserve">a matter of </w:t>
      </w:r>
      <w:r w:rsidR="001005EC" w:rsidRPr="00096CB6">
        <w:rPr>
          <w:sz w:val="24"/>
          <w:szCs w:val="24"/>
        </w:rPr>
        <w:t>policy</w:t>
      </w:r>
      <w:r w:rsidRPr="00096CB6">
        <w:rPr>
          <w:sz w:val="24"/>
          <w:szCs w:val="24"/>
        </w:rPr>
        <w:t xml:space="preserve"> concern.</w:t>
      </w:r>
    </w:p>
    <w:p w14:paraId="56A3B0E6" w14:textId="30A324AB" w:rsidR="008E31FF" w:rsidRDefault="0083533C">
      <w:pPr>
        <w:rPr>
          <w:sz w:val="24"/>
          <w:szCs w:val="24"/>
        </w:rPr>
      </w:pPr>
      <w:r w:rsidRPr="00096CB6">
        <w:rPr>
          <w:sz w:val="24"/>
          <w:szCs w:val="24"/>
        </w:rPr>
        <w:t>Why do so many young people – of all races</w:t>
      </w:r>
      <w:r w:rsidR="00C86638" w:rsidRPr="00096CB6">
        <w:rPr>
          <w:sz w:val="24"/>
          <w:szCs w:val="24"/>
        </w:rPr>
        <w:t xml:space="preserve">, but </w:t>
      </w:r>
      <w:r w:rsidR="00BA4F75">
        <w:rPr>
          <w:sz w:val="24"/>
          <w:szCs w:val="24"/>
        </w:rPr>
        <w:t>Black</w:t>
      </w:r>
      <w:r w:rsidR="005E0AB8">
        <w:rPr>
          <w:sz w:val="24"/>
          <w:szCs w:val="24"/>
        </w:rPr>
        <w:t xml:space="preserve"> students</w:t>
      </w:r>
      <w:r w:rsidR="00C86638" w:rsidRPr="00096CB6">
        <w:rPr>
          <w:sz w:val="24"/>
          <w:szCs w:val="24"/>
        </w:rPr>
        <w:t xml:space="preserve"> disproportionately</w:t>
      </w:r>
      <w:r w:rsidRPr="00096CB6">
        <w:rPr>
          <w:sz w:val="24"/>
          <w:szCs w:val="24"/>
        </w:rPr>
        <w:t xml:space="preserve"> – fail to complete college? Researchers point to several causes</w:t>
      </w:r>
      <w:r w:rsidR="00A85E83">
        <w:rPr>
          <w:sz w:val="24"/>
          <w:szCs w:val="24"/>
        </w:rPr>
        <w:t xml:space="preserve"> (</w:t>
      </w:r>
      <w:r w:rsidR="00783755">
        <w:rPr>
          <w:sz w:val="24"/>
          <w:szCs w:val="24"/>
        </w:rPr>
        <w:t xml:space="preserve">Attewell et al 2011, </w:t>
      </w:r>
      <w:r w:rsidR="008E31FF">
        <w:rPr>
          <w:sz w:val="24"/>
          <w:szCs w:val="24"/>
        </w:rPr>
        <w:t xml:space="preserve">Braxton 2000, </w:t>
      </w:r>
      <w:r w:rsidR="002C0830">
        <w:rPr>
          <w:sz w:val="24"/>
          <w:szCs w:val="24"/>
        </w:rPr>
        <w:t xml:space="preserve">Chen et al 2019, </w:t>
      </w:r>
      <w:r w:rsidR="00A85E83">
        <w:rPr>
          <w:sz w:val="24"/>
          <w:szCs w:val="24"/>
        </w:rPr>
        <w:t>Radford et al 2018 Table 13 p.22)</w:t>
      </w:r>
      <w:r w:rsidRPr="00096CB6">
        <w:rPr>
          <w:sz w:val="24"/>
          <w:szCs w:val="24"/>
        </w:rPr>
        <w:t>. College-goers who were not academically</w:t>
      </w:r>
      <w:r w:rsidR="00C86638" w:rsidRPr="00096CB6">
        <w:rPr>
          <w:sz w:val="24"/>
          <w:szCs w:val="24"/>
        </w:rPr>
        <w:t>-</w:t>
      </w:r>
      <w:r w:rsidRPr="00096CB6">
        <w:rPr>
          <w:sz w:val="24"/>
          <w:szCs w:val="24"/>
        </w:rPr>
        <w:t xml:space="preserve">oriented, </w:t>
      </w:r>
      <w:r w:rsidR="00435C9E">
        <w:rPr>
          <w:sz w:val="24"/>
          <w:szCs w:val="24"/>
        </w:rPr>
        <w:t xml:space="preserve">who </w:t>
      </w:r>
      <w:r w:rsidRPr="00096CB6">
        <w:rPr>
          <w:sz w:val="24"/>
          <w:szCs w:val="24"/>
        </w:rPr>
        <w:t>received poor grades and lacked more advanced courses</w:t>
      </w:r>
      <w:r w:rsidR="00EF3F4C">
        <w:rPr>
          <w:sz w:val="24"/>
          <w:szCs w:val="24"/>
        </w:rPr>
        <w:t xml:space="preserve"> </w:t>
      </w:r>
      <w:r w:rsidR="002236EE">
        <w:rPr>
          <w:sz w:val="24"/>
          <w:szCs w:val="24"/>
        </w:rPr>
        <w:t xml:space="preserve">while </w:t>
      </w:r>
      <w:r w:rsidR="00EF3F4C">
        <w:rPr>
          <w:sz w:val="24"/>
          <w:szCs w:val="24"/>
        </w:rPr>
        <w:t>in high school</w:t>
      </w:r>
      <w:r w:rsidRPr="00096CB6">
        <w:rPr>
          <w:sz w:val="24"/>
          <w:szCs w:val="24"/>
        </w:rPr>
        <w:t xml:space="preserve"> are </w:t>
      </w:r>
      <w:r w:rsidR="00C86638" w:rsidRPr="00096CB6">
        <w:rPr>
          <w:sz w:val="24"/>
          <w:szCs w:val="24"/>
        </w:rPr>
        <w:t xml:space="preserve">much </w:t>
      </w:r>
      <w:r w:rsidRPr="00096CB6">
        <w:rPr>
          <w:sz w:val="24"/>
          <w:szCs w:val="24"/>
        </w:rPr>
        <w:t>more likely to drop</w:t>
      </w:r>
      <w:r w:rsidR="00EF3F4C">
        <w:rPr>
          <w:sz w:val="24"/>
          <w:szCs w:val="24"/>
        </w:rPr>
        <w:t xml:space="preserve"> out </w:t>
      </w:r>
      <w:r w:rsidR="002236EE">
        <w:rPr>
          <w:sz w:val="24"/>
          <w:szCs w:val="24"/>
        </w:rPr>
        <w:t>when they attend</w:t>
      </w:r>
      <w:r w:rsidR="00EF3F4C">
        <w:rPr>
          <w:sz w:val="24"/>
          <w:szCs w:val="24"/>
        </w:rPr>
        <w:t xml:space="preserve"> college</w:t>
      </w:r>
      <w:r w:rsidR="00A85E83">
        <w:rPr>
          <w:sz w:val="24"/>
          <w:szCs w:val="24"/>
        </w:rPr>
        <w:t>.</w:t>
      </w:r>
      <w:r w:rsidRPr="00096CB6">
        <w:rPr>
          <w:sz w:val="24"/>
          <w:szCs w:val="24"/>
        </w:rPr>
        <w:t xml:space="preserve"> </w:t>
      </w:r>
      <w:r w:rsidR="00A7482B">
        <w:rPr>
          <w:sz w:val="24"/>
          <w:szCs w:val="24"/>
        </w:rPr>
        <w:t>Nevertheless,</w:t>
      </w:r>
      <w:r w:rsidRPr="00096CB6">
        <w:rPr>
          <w:sz w:val="24"/>
          <w:szCs w:val="24"/>
        </w:rPr>
        <w:t xml:space="preserve"> </w:t>
      </w:r>
      <w:r w:rsidR="008E31FF">
        <w:rPr>
          <w:sz w:val="24"/>
          <w:szCs w:val="24"/>
        </w:rPr>
        <w:t xml:space="preserve">most </w:t>
      </w:r>
      <w:r w:rsidR="004D27F7">
        <w:rPr>
          <w:sz w:val="24"/>
          <w:szCs w:val="24"/>
        </w:rPr>
        <w:t xml:space="preserve">dropping out </w:t>
      </w:r>
      <w:r w:rsidR="00A7482B">
        <w:rPr>
          <w:sz w:val="24"/>
          <w:szCs w:val="24"/>
        </w:rPr>
        <w:t xml:space="preserve">from college </w:t>
      </w:r>
      <w:r w:rsidR="004D27F7">
        <w:rPr>
          <w:sz w:val="24"/>
          <w:szCs w:val="24"/>
        </w:rPr>
        <w:t>is</w:t>
      </w:r>
      <w:r w:rsidR="008E31FF">
        <w:rPr>
          <w:sz w:val="24"/>
          <w:szCs w:val="24"/>
        </w:rPr>
        <w:t xml:space="preserve"> not due to academic failure. Decades ago, Tinto</w:t>
      </w:r>
      <w:r w:rsidR="00B43A4A">
        <w:rPr>
          <w:sz w:val="24"/>
          <w:szCs w:val="24"/>
        </w:rPr>
        <w:t xml:space="preserve"> </w:t>
      </w:r>
      <w:r w:rsidR="008E31FF">
        <w:rPr>
          <w:sz w:val="24"/>
          <w:szCs w:val="24"/>
        </w:rPr>
        <w:t xml:space="preserve">(1993) estimated that somewhere between 15% and 25% of undergraduates </w:t>
      </w:r>
      <w:r w:rsidR="00A7482B">
        <w:rPr>
          <w:sz w:val="24"/>
          <w:szCs w:val="24"/>
        </w:rPr>
        <w:t>quit</w:t>
      </w:r>
      <w:r w:rsidR="008E31FF">
        <w:rPr>
          <w:sz w:val="24"/>
          <w:szCs w:val="24"/>
        </w:rPr>
        <w:t xml:space="preserve"> </w:t>
      </w:r>
      <w:r w:rsidR="00A7482B">
        <w:rPr>
          <w:sz w:val="24"/>
          <w:szCs w:val="24"/>
        </w:rPr>
        <w:t xml:space="preserve">college </w:t>
      </w:r>
      <w:r w:rsidR="008E31FF">
        <w:rPr>
          <w:sz w:val="24"/>
          <w:szCs w:val="24"/>
        </w:rPr>
        <w:t>because of academic difficulties. In the most recent data, about 24% of drop</w:t>
      </w:r>
      <w:r w:rsidR="002236EE">
        <w:rPr>
          <w:sz w:val="24"/>
          <w:szCs w:val="24"/>
        </w:rPr>
        <w:t>-</w:t>
      </w:r>
      <w:r w:rsidR="008E31FF">
        <w:rPr>
          <w:sz w:val="24"/>
          <w:szCs w:val="24"/>
        </w:rPr>
        <w:t xml:space="preserve">outs </w:t>
      </w:r>
      <w:r w:rsidR="008B1E0F">
        <w:rPr>
          <w:sz w:val="24"/>
          <w:szCs w:val="24"/>
        </w:rPr>
        <w:t xml:space="preserve">still </w:t>
      </w:r>
      <w:r w:rsidR="008E31FF">
        <w:rPr>
          <w:sz w:val="24"/>
          <w:szCs w:val="24"/>
        </w:rPr>
        <w:t>cite academic difficulties as the</w:t>
      </w:r>
      <w:r w:rsidR="00435C9E">
        <w:rPr>
          <w:sz w:val="24"/>
          <w:szCs w:val="24"/>
        </w:rPr>
        <w:t>ir</w:t>
      </w:r>
      <w:r w:rsidR="008E31FF">
        <w:rPr>
          <w:sz w:val="24"/>
          <w:szCs w:val="24"/>
        </w:rPr>
        <w:t xml:space="preserve"> reason for leaving college (Radford et al 2018)</w:t>
      </w:r>
      <w:r w:rsidR="00A7482B">
        <w:rPr>
          <w:sz w:val="24"/>
          <w:szCs w:val="24"/>
        </w:rPr>
        <w:t>. So that problem has neither improved nor gotten worse over time.</w:t>
      </w:r>
    </w:p>
    <w:p w14:paraId="1422F8B1" w14:textId="5C6380F3" w:rsidR="0083533C" w:rsidRPr="00096CB6" w:rsidRDefault="008E31FF">
      <w:pPr>
        <w:rPr>
          <w:sz w:val="24"/>
          <w:szCs w:val="24"/>
        </w:rPr>
      </w:pPr>
      <w:r>
        <w:rPr>
          <w:sz w:val="24"/>
          <w:szCs w:val="24"/>
        </w:rPr>
        <w:t xml:space="preserve">Many </w:t>
      </w:r>
      <w:r w:rsidR="00E6374A" w:rsidRPr="00096CB6">
        <w:rPr>
          <w:sz w:val="24"/>
          <w:szCs w:val="24"/>
        </w:rPr>
        <w:t>students</w:t>
      </w:r>
      <w:r w:rsidR="00596389">
        <w:rPr>
          <w:sz w:val="24"/>
          <w:szCs w:val="24"/>
        </w:rPr>
        <w:t xml:space="preserve"> who come</w:t>
      </w:r>
      <w:r w:rsidR="0083533C" w:rsidRPr="00096CB6">
        <w:rPr>
          <w:sz w:val="24"/>
          <w:szCs w:val="24"/>
        </w:rPr>
        <w:t xml:space="preserve"> from lower</w:t>
      </w:r>
      <w:r w:rsidR="00B674A3" w:rsidRPr="00096CB6">
        <w:rPr>
          <w:sz w:val="24"/>
          <w:szCs w:val="24"/>
        </w:rPr>
        <w:t>-</w:t>
      </w:r>
      <w:r w:rsidR="0083533C" w:rsidRPr="00096CB6">
        <w:rPr>
          <w:sz w:val="24"/>
          <w:szCs w:val="24"/>
        </w:rPr>
        <w:t>income families</w:t>
      </w:r>
      <w:r>
        <w:rPr>
          <w:sz w:val="24"/>
          <w:szCs w:val="24"/>
        </w:rPr>
        <w:t xml:space="preserve"> drop out of college</w:t>
      </w:r>
      <w:r w:rsidR="004D27F7">
        <w:rPr>
          <w:sz w:val="24"/>
          <w:szCs w:val="24"/>
        </w:rPr>
        <w:t xml:space="preserve"> even though they are </w:t>
      </w:r>
      <w:r w:rsidR="004D27F7" w:rsidRPr="00A7482B">
        <w:rPr>
          <w:i/>
          <w:iCs/>
          <w:sz w:val="24"/>
          <w:szCs w:val="24"/>
        </w:rPr>
        <w:t>not</w:t>
      </w:r>
      <w:r w:rsidR="004D27F7">
        <w:rPr>
          <w:sz w:val="24"/>
          <w:szCs w:val="24"/>
        </w:rPr>
        <w:t xml:space="preserve"> having academic difficulties</w:t>
      </w:r>
      <w:r w:rsidR="0083533C" w:rsidRPr="00096CB6">
        <w:rPr>
          <w:sz w:val="24"/>
          <w:szCs w:val="24"/>
        </w:rPr>
        <w:t xml:space="preserve">: </w:t>
      </w:r>
      <w:r w:rsidR="004D27F7">
        <w:rPr>
          <w:sz w:val="24"/>
          <w:szCs w:val="24"/>
        </w:rPr>
        <w:t>a</w:t>
      </w:r>
      <w:r>
        <w:rPr>
          <w:sz w:val="24"/>
          <w:szCs w:val="24"/>
        </w:rPr>
        <w:t>bout 4</w:t>
      </w:r>
      <w:r w:rsidR="004D27F7">
        <w:rPr>
          <w:sz w:val="24"/>
          <w:szCs w:val="24"/>
        </w:rPr>
        <w:t>6</w:t>
      </w:r>
      <w:r>
        <w:rPr>
          <w:sz w:val="24"/>
          <w:szCs w:val="24"/>
        </w:rPr>
        <w:t xml:space="preserve">% of </w:t>
      </w:r>
      <w:r w:rsidR="00B43A4A">
        <w:rPr>
          <w:sz w:val="24"/>
          <w:szCs w:val="24"/>
        </w:rPr>
        <w:t xml:space="preserve">recent </w:t>
      </w:r>
      <w:r w:rsidR="004D27F7">
        <w:rPr>
          <w:sz w:val="24"/>
          <w:szCs w:val="24"/>
        </w:rPr>
        <w:t xml:space="preserve">Black college </w:t>
      </w:r>
      <w:r>
        <w:rPr>
          <w:sz w:val="24"/>
          <w:szCs w:val="24"/>
        </w:rPr>
        <w:t>leavers cite financial stresses as the</w:t>
      </w:r>
      <w:r w:rsidR="00A7482B">
        <w:rPr>
          <w:sz w:val="24"/>
          <w:szCs w:val="24"/>
        </w:rPr>
        <w:t>ir</w:t>
      </w:r>
      <w:r>
        <w:rPr>
          <w:sz w:val="24"/>
          <w:szCs w:val="24"/>
        </w:rPr>
        <w:t xml:space="preserve"> motivation for quitting college</w:t>
      </w:r>
      <w:r w:rsidR="004D27F7">
        <w:rPr>
          <w:sz w:val="24"/>
          <w:szCs w:val="24"/>
        </w:rPr>
        <w:t xml:space="preserve">, compared to 35% of </w:t>
      </w:r>
      <w:r w:rsidR="009929AE">
        <w:rPr>
          <w:sz w:val="24"/>
          <w:szCs w:val="24"/>
        </w:rPr>
        <w:t>White</w:t>
      </w:r>
      <w:r w:rsidR="004D27F7">
        <w:rPr>
          <w:sz w:val="24"/>
          <w:szCs w:val="24"/>
        </w:rPr>
        <w:t xml:space="preserve"> college leavers</w:t>
      </w:r>
      <w:r>
        <w:rPr>
          <w:sz w:val="24"/>
          <w:szCs w:val="24"/>
        </w:rPr>
        <w:t xml:space="preserve"> (Radford et al 2018). </w:t>
      </w:r>
      <w:r w:rsidR="00624A94">
        <w:rPr>
          <w:sz w:val="24"/>
          <w:szCs w:val="24"/>
        </w:rPr>
        <w:t>T</w:t>
      </w:r>
      <w:r w:rsidR="0083533C" w:rsidRPr="00096CB6">
        <w:rPr>
          <w:sz w:val="24"/>
          <w:szCs w:val="24"/>
        </w:rPr>
        <w:t>here is a burgeoning literature on the economic stresses experienced by</w:t>
      </w:r>
      <w:r w:rsidR="00362977" w:rsidRPr="00096CB6">
        <w:rPr>
          <w:sz w:val="24"/>
          <w:szCs w:val="24"/>
        </w:rPr>
        <w:t xml:space="preserve"> </w:t>
      </w:r>
      <w:r w:rsidR="0083533C" w:rsidRPr="00096CB6">
        <w:rPr>
          <w:sz w:val="24"/>
          <w:szCs w:val="24"/>
        </w:rPr>
        <w:t>students</w:t>
      </w:r>
      <w:r w:rsidR="00B43A4A">
        <w:rPr>
          <w:sz w:val="24"/>
          <w:szCs w:val="24"/>
        </w:rPr>
        <w:t xml:space="preserve"> (US GAO 2018)</w:t>
      </w:r>
      <w:r w:rsidR="0083533C" w:rsidRPr="00096CB6">
        <w:rPr>
          <w:sz w:val="24"/>
          <w:szCs w:val="24"/>
        </w:rPr>
        <w:t xml:space="preserve">. </w:t>
      </w:r>
      <w:r w:rsidR="001005EC" w:rsidRPr="00096CB6">
        <w:rPr>
          <w:sz w:val="24"/>
          <w:szCs w:val="24"/>
        </w:rPr>
        <w:t>U</w:t>
      </w:r>
      <w:r w:rsidR="0083533C" w:rsidRPr="00096CB6">
        <w:rPr>
          <w:sz w:val="24"/>
          <w:szCs w:val="24"/>
        </w:rPr>
        <w:t>ndergraduates</w:t>
      </w:r>
      <w:r w:rsidR="001005EC" w:rsidRPr="00096CB6">
        <w:rPr>
          <w:sz w:val="24"/>
          <w:szCs w:val="24"/>
        </w:rPr>
        <w:t xml:space="preserve"> often</w:t>
      </w:r>
      <w:r w:rsidR="0083533C" w:rsidRPr="00096CB6">
        <w:rPr>
          <w:sz w:val="24"/>
          <w:szCs w:val="24"/>
        </w:rPr>
        <w:t xml:space="preserve"> juggle competing obligations: some are parents</w:t>
      </w:r>
      <w:r w:rsidR="00446381">
        <w:rPr>
          <w:sz w:val="24"/>
          <w:szCs w:val="24"/>
        </w:rPr>
        <w:t>,</w:t>
      </w:r>
      <w:r w:rsidR="0083533C" w:rsidRPr="00096CB6">
        <w:rPr>
          <w:sz w:val="24"/>
          <w:szCs w:val="24"/>
        </w:rPr>
        <w:t xml:space="preserve"> others </w:t>
      </w:r>
      <w:r w:rsidR="00B674A3" w:rsidRPr="00096CB6">
        <w:rPr>
          <w:sz w:val="24"/>
          <w:szCs w:val="24"/>
        </w:rPr>
        <w:t>support</w:t>
      </w:r>
      <w:r w:rsidR="00282FDF" w:rsidRPr="00096CB6">
        <w:rPr>
          <w:sz w:val="24"/>
          <w:szCs w:val="24"/>
        </w:rPr>
        <w:t xml:space="preserve"> their </w:t>
      </w:r>
      <w:r w:rsidR="00B674A3" w:rsidRPr="00096CB6">
        <w:rPr>
          <w:sz w:val="24"/>
          <w:szCs w:val="24"/>
        </w:rPr>
        <w:t xml:space="preserve">own </w:t>
      </w:r>
      <w:r w:rsidR="00282FDF" w:rsidRPr="00096CB6">
        <w:rPr>
          <w:sz w:val="24"/>
          <w:szCs w:val="24"/>
        </w:rPr>
        <w:t>parents and siblings in financial and</w:t>
      </w:r>
      <w:r w:rsidR="00B674A3" w:rsidRPr="00096CB6">
        <w:rPr>
          <w:sz w:val="24"/>
          <w:szCs w:val="24"/>
        </w:rPr>
        <w:t>/or emotional ways.</w:t>
      </w:r>
      <w:r w:rsidR="004D27F7">
        <w:rPr>
          <w:sz w:val="24"/>
          <w:szCs w:val="24"/>
        </w:rPr>
        <w:t xml:space="preserve"> A larger proportion of Black college leavers (56%) cite family and personal reasons</w:t>
      </w:r>
      <w:r w:rsidR="00446381">
        <w:rPr>
          <w:sz w:val="24"/>
          <w:szCs w:val="24"/>
        </w:rPr>
        <w:t xml:space="preserve"> for dropping out</w:t>
      </w:r>
      <w:r w:rsidR="004D27F7">
        <w:rPr>
          <w:sz w:val="24"/>
          <w:szCs w:val="24"/>
        </w:rPr>
        <w:t xml:space="preserve">, compared to </w:t>
      </w:r>
      <w:r w:rsidR="009929AE">
        <w:rPr>
          <w:sz w:val="24"/>
          <w:szCs w:val="24"/>
        </w:rPr>
        <w:t>White</w:t>
      </w:r>
      <w:r w:rsidR="007B0A56">
        <w:rPr>
          <w:sz w:val="24"/>
          <w:szCs w:val="24"/>
        </w:rPr>
        <w:t>s</w:t>
      </w:r>
      <w:r w:rsidR="004D27F7">
        <w:rPr>
          <w:sz w:val="24"/>
          <w:szCs w:val="24"/>
        </w:rPr>
        <w:t xml:space="preserve"> (48%) (Radford et al 2018). </w:t>
      </w:r>
      <w:r w:rsidR="002C54F1">
        <w:rPr>
          <w:sz w:val="24"/>
          <w:szCs w:val="24"/>
        </w:rPr>
        <w:t>In addition, t</w:t>
      </w:r>
      <w:r w:rsidR="00EF4D41" w:rsidRPr="00096CB6">
        <w:rPr>
          <w:sz w:val="24"/>
          <w:szCs w:val="24"/>
        </w:rPr>
        <w:t xml:space="preserve">he majority </w:t>
      </w:r>
      <w:r w:rsidR="00C86638" w:rsidRPr="00096CB6">
        <w:rPr>
          <w:sz w:val="24"/>
          <w:szCs w:val="24"/>
        </w:rPr>
        <w:t xml:space="preserve">of </w:t>
      </w:r>
      <w:r w:rsidR="004D27F7">
        <w:rPr>
          <w:sz w:val="24"/>
          <w:szCs w:val="24"/>
        </w:rPr>
        <w:t>undergraduates</w:t>
      </w:r>
      <w:r w:rsidR="00C86638" w:rsidRPr="00096CB6">
        <w:rPr>
          <w:sz w:val="24"/>
          <w:szCs w:val="24"/>
        </w:rPr>
        <w:t xml:space="preserve"> </w:t>
      </w:r>
      <w:r w:rsidR="00EF4D41" w:rsidRPr="00096CB6">
        <w:rPr>
          <w:sz w:val="24"/>
          <w:szCs w:val="24"/>
        </w:rPr>
        <w:t>hold paid jobs while in college</w:t>
      </w:r>
      <w:r w:rsidR="004D27F7">
        <w:rPr>
          <w:sz w:val="24"/>
          <w:szCs w:val="24"/>
        </w:rPr>
        <w:t xml:space="preserve"> and it is often difficult to balance paid work </w:t>
      </w:r>
      <w:r w:rsidR="00A7482B">
        <w:rPr>
          <w:sz w:val="24"/>
          <w:szCs w:val="24"/>
        </w:rPr>
        <w:t xml:space="preserve">hours </w:t>
      </w:r>
      <w:r w:rsidR="004D27F7">
        <w:rPr>
          <w:sz w:val="24"/>
          <w:szCs w:val="24"/>
        </w:rPr>
        <w:t xml:space="preserve">with </w:t>
      </w:r>
      <w:r w:rsidR="00A7482B">
        <w:rPr>
          <w:sz w:val="24"/>
          <w:szCs w:val="24"/>
        </w:rPr>
        <w:t xml:space="preserve">class attendance and </w:t>
      </w:r>
      <w:r w:rsidR="004D27F7">
        <w:rPr>
          <w:sz w:val="24"/>
          <w:szCs w:val="24"/>
        </w:rPr>
        <w:t xml:space="preserve">studying, although recent research suggests that accumulating paid work experience </w:t>
      </w:r>
      <w:r w:rsidR="00446381">
        <w:rPr>
          <w:sz w:val="24"/>
          <w:szCs w:val="24"/>
        </w:rPr>
        <w:t xml:space="preserve">while in college </w:t>
      </w:r>
      <w:r w:rsidR="004D27F7">
        <w:rPr>
          <w:sz w:val="24"/>
          <w:szCs w:val="24"/>
        </w:rPr>
        <w:t>pays off in higher wages after</w:t>
      </w:r>
      <w:r w:rsidR="00446381">
        <w:rPr>
          <w:sz w:val="24"/>
          <w:szCs w:val="24"/>
        </w:rPr>
        <w:t xml:space="preserve"> </w:t>
      </w:r>
      <w:r w:rsidR="004D27F7">
        <w:rPr>
          <w:sz w:val="24"/>
          <w:szCs w:val="24"/>
        </w:rPr>
        <w:t xml:space="preserve">students leave college </w:t>
      </w:r>
      <w:r w:rsidR="00A85E83">
        <w:rPr>
          <w:sz w:val="24"/>
          <w:szCs w:val="24"/>
        </w:rPr>
        <w:t xml:space="preserve">(Douglas and Attewell </w:t>
      </w:r>
      <w:r w:rsidR="00AF163D">
        <w:rPr>
          <w:sz w:val="24"/>
          <w:szCs w:val="24"/>
        </w:rPr>
        <w:t>2019</w:t>
      </w:r>
      <w:r w:rsidR="00A85E83">
        <w:rPr>
          <w:sz w:val="24"/>
          <w:szCs w:val="24"/>
        </w:rPr>
        <w:t>)</w:t>
      </w:r>
      <w:r w:rsidR="00EF4D41" w:rsidRPr="00096CB6">
        <w:rPr>
          <w:sz w:val="24"/>
          <w:szCs w:val="24"/>
        </w:rPr>
        <w:t>.</w:t>
      </w:r>
      <w:r w:rsidR="00282FDF" w:rsidRPr="00096CB6">
        <w:rPr>
          <w:sz w:val="24"/>
          <w:szCs w:val="24"/>
        </w:rPr>
        <w:t xml:space="preserve"> </w:t>
      </w:r>
    </w:p>
    <w:p w14:paraId="1B509DDB" w14:textId="014C81D9" w:rsidR="00FD1A10" w:rsidRPr="007F7ADF" w:rsidRDefault="00B43A4A">
      <w:pPr>
        <w:rPr>
          <w:sz w:val="24"/>
          <w:szCs w:val="24"/>
        </w:rPr>
      </w:pPr>
      <w:r>
        <w:rPr>
          <w:sz w:val="24"/>
          <w:szCs w:val="24"/>
        </w:rPr>
        <w:t>Taken together</w:t>
      </w:r>
      <w:r w:rsidR="00435C9E">
        <w:rPr>
          <w:sz w:val="24"/>
          <w:szCs w:val="24"/>
        </w:rPr>
        <w:t>,</w:t>
      </w:r>
      <w:r>
        <w:rPr>
          <w:sz w:val="24"/>
          <w:szCs w:val="24"/>
        </w:rPr>
        <w:t xml:space="preserve"> </w:t>
      </w:r>
      <w:r w:rsidR="00A7482B">
        <w:rPr>
          <w:sz w:val="24"/>
          <w:szCs w:val="24"/>
        </w:rPr>
        <w:t>financial, family, work and academic difficulties</w:t>
      </w:r>
      <w:r>
        <w:rPr>
          <w:sz w:val="24"/>
          <w:szCs w:val="24"/>
        </w:rPr>
        <w:t xml:space="preserve"> result in far lower degree completion rates among </w:t>
      </w:r>
      <w:r w:rsidR="002C54F1">
        <w:rPr>
          <w:sz w:val="24"/>
          <w:szCs w:val="24"/>
        </w:rPr>
        <w:t>B</w:t>
      </w:r>
      <w:r>
        <w:rPr>
          <w:sz w:val="24"/>
          <w:szCs w:val="24"/>
        </w:rPr>
        <w:t>lack undergraduates</w:t>
      </w:r>
      <w:r w:rsidR="00785D5A">
        <w:rPr>
          <w:sz w:val="24"/>
          <w:szCs w:val="24"/>
        </w:rPr>
        <w:t xml:space="preserve"> than among </w:t>
      </w:r>
      <w:r w:rsidR="009929AE">
        <w:rPr>
          <w:sz w:val="24"/>
          <w:szCs w:val="24"/>
        </w:rPr>
        <w:t>White</w:t>
      </w:r>
      <w:r w:rsidR="00785D5A">
        <w:rPr>
          <w:sz w:val="24"/>
          <w:szCs w:val="24"/>
        </w:rPr>
        <w:t>s</w:t>
      </w:r>
      <w:r>
        <w:rPr>
          <w:sz w:val="24"/>
          <w:szCs w:val="24"/>
        </w:rPr>
        <w:t xml:space="preserve">. At four-year colleges, 64% of </w:t>
      </w:r>
      <w:r w:rsidR="009929AE">
        <w:rPr>
          <w:sz w:val="24"/>
          <w:szCs w:val="24"/>
        </w:rPr>
        <w:t>White</w:t>
      </w:r>
      <w:r>
        <w:rPr>
          <w:sz w:val="24"/>
          <w:szCs w:val="24"/>
        </w:rPr>
        <w:t>s graduate within six years, while only 40% of Black students at those colleges complete</w:t>
      </w:r>
      <w:r w:rsidR="008B1E0F">
        <w:rPr>
          <w:sz w:val="24"/>
          <w:szCs w:val="24"/>
        </w:rPr>
        <w:t xml:space="preserve"> a</w:t>
      </w:r>
      <w:r>
        <w:rPr>
          <w:sz w:val="24"/>
          <w:szCs w:val="24"/>
        </w:rPr>
        <w:t xml:space="preserve"> bachelor’s degree</w:t>
      </w:r>
      <w:r w:rsidR="00FA16CE">
        <w:rPr>
          <w:sz w:val="24"/>
          <w:szCs w:val="24"/>
        </w:rPr>
        <w:t xml:space="preserve"> in that time frame</w:t>
      </w:r>
      <w:r>
        <w:rPr>
          <w:sz w:val="24"/>
          <w:szCs w:val="24"/>
        </w:rPr>
        <w:t xml:space="preserve"> (de </w:t>
      </w:r>
      <w:r w:rsidR="00785D5A">
        <w:rPr>
          <w:sz w:val="24"/>
          <w:szCs w:val="24"/>
        </w:rPr>
        <w:t>Brey et al 2019 p.138)</w:t>
      </w:r>
      <w:r>
        <w:rPr>
          <w:sz w:val="24"/>
          <w:szCs w:val="24"/>
        </w:rPr>
        <w:t xml:space="preserve">. </w:t>
      </w:r>
    </w:p>
    <w:p w14:paraId="264324FE" w14:textId="558CB618" w:rsidR="008B1E0F" w:rsidRDefault="00F75193">
      <w:pPr>
        <w:rPr>
          <w:sz w:val="24"/>
          <w:szCs w:val="24"/>
        </w:rPr>
      </w:pPr>
      <w:r w:rsidRPr="00096CB6">
        <w:rPr>
          <w:sz w:val="24"/>
          <w:szCs w:val="24"/>
        </w:rPr>
        <w:t>Attending a local community college is almost always cheaper than attending a four-year college: tuition and fees are l</w:t>
      </w:r>
      <w:r w:rsidR="00FD1A10" w:rsidRPr="00096CB6">
        <w:rPr>
          <w:sz w:val="24"/>
          <w:szCs w:val="24"/>
        </w:rPr>
        <w:t>ower</w:t>
      </w:r>
      <w:r w:rsidRPr="00096CB6">
        <w:rPr>
          <w:sz w:val="24"/>
          <w:szCs w:val="24"/>
        </w:rPr>
        <w:t xml:space="preserve">, and most </w:t>
      </w:r>
      <w:r w:rsidR="00FD1A10" w:rsidRPr="00096CB6">
        <w:rPr>
          <w:sz w:val="24"/>
          <w:szCs w:val="24"/>
        </w:rPr>
        <w:t xml:space="preserve">two-year college </w:t>
      </w:r>
      <w:r w:rsidRPr="00096CB6">
        <w:rPr>
          <w:sz w:val="24"/>
          <w:szCs w:val="24"/>
        </w:rPr>
        <w:t>students live at home and commute, avoiding the considerable cost of a dorm room</w:t>
      </w:r>
      <w:r w:rsidR="00DE13F4">
        <w:rPr>
          <w:rStyle w:val="FootnoteReference"/>
          <w:sz w:val="24"/>
          <w:szCs w:val="24"/>
        </w:rPr>
        <w:footnoteReference w:id="4"/>
      </w:r>
      <w:r w:rsidRPr="00096CB6">
        <w:rPr>
          <w:sz w:val="24"/>
          <w:szCs w:val="24"/>
        </w:rPr>
        <w:t xml:space="preserve">. </w:t>
      </w:r>
      <w:r w:rsidR="00A7482B">
        <w:rPr>
          <w:sz w:val="24"/>
          <w:szCs w:val="24"/>
        </w:rPr>
        <w:t xml:space="preserve">Consequently, </w:t>
      </w:r>
      <w:r w:rsidR="00A56372">
        <w:rPr>
          <w:sz w:val="24"/>
          <w:szCs w:val="24"/>
        </w:rPr>
        <w:t xml:space="preserve">about 43% of </w:t>
      </w:r>
      <w:r w:rsidR="00A7482B">
        <w:rPr>
          <w:sz w:val="24"/>
          <w:szCs w:val="24"/>
        </w:rPr>
        <w:t xml:space="preserve">Black </w:t>
      </w:r>
      <w:r w:rsidR="00841FE2">
        <w:rPr>
          <w:sz w:val="24"/>
          <w:szCs w:val="24"/>
        </w:rPr>
        <w:t>undergraduates</w:t>
      </w:r>
      <w:r w:rsidR="00BB1713">
        <w:rPr>
          <w:sz w:val="24"/>
          <w:szCs w:val="24"/>
        </w:rPr>
        <w:t xml:space="preserve"> attend a two-year college</w:t>
      </w:r>
      <w:r w:rsidR="00A7482B">
        <w:rPr>
          <w:sz w:val="24"/>
          <w:szCs w:val="24"/>
        </w:rPr>
        <w:t xml:space="preserve">. </w:t>
      </w:r>
      <w:r w:rsidR="0077017F" w:rsidRPr="00096CB6">
        <w:rPr>
          <w:sz w:val="24"/>
          <w:szCs w:val="24"/>
        </w:rPr>
        <w:t xml:space="preserve">Unfortunately, the community college route </w:t>
      </w:r>
      <w:r w:rsidR="00362977" w:rsidRPr="00096CB6">
        <w:rPr>
          <w:sz w:val="24"/>
          <w:szCs w:val="24"/>
        </w:rPr>
        <w:t xml:space="preserve">to a degree </w:t>
      </w:r>
      <w:r w:rsidR="0077017F" w:rsidRPr="00096CB6">
        <w:rPr>
          <w:sz w:val="24"/>
          <w:szCs w:val="24"/>
        </w:rPr>
        <w:t xml:space="preserve">is </w:t>
      </w:r>
      <w:r w:rsidRPr="00096CB6">
        <w:rPr>
          <w:sz w:val="24"/>
          <w:szCs w:val="24"/>
        </w:rPr>
        <w:t xml:space="preserve">also </w:t>
      </w:r>
      <w:r w:rsidR="0077017F" w:rsidRPr="00096CB6">
        <w:rPr>
          <w:sz w:val="24"/>
          <w:szCs w:val="24"/>
        </w:rPr>
        <w:t xml:space="preserve">a hazardous one. </w:t>
      </w:r>
      <w:r w:rsidR="00F467D0">
        <w:rPr>
          <w:sz w:val="24"/>
          <w:szCs w:val="24"/>
        </w:rPr>
        <w:t>C</w:t>
      </w:r>
      <w:r w:rsidR="0077017F" w:rsidRPr="00096CB6">
        <w:rPr>
          <w:sz w:val="24"/>
          <w:szCs w:val="24"/>
        </w:rPr>
        <w:t xml:space="preserve">ompletion rates at public two-year colleges are </w:t>
      </w:r>
      <w:r w:rsidR="007B0A56">
        <w:rPr>
          <w:sz w:val="24"/>
          <w:szCs w:val="24"/>
        </w:rPr>
        <w:t xml:space="preserve">very </w:t>
      </w:r>
      <w:r w:rsidR="0077017F" w:rsidRPr="00096CB6">
        <w:rPr>
          <w:sz w:val="24"/>
          <w:szCs w:val="24"/>
        </w:rPr>
        <w:t>l</w:t>
      </w:r>
      <w:r w:rsidR="00F467D0">
        <w:rPr>
          <w:sz w:val="24"/>
          <w:szCs w:val="24"/>
        </w:rPr>
        <w:t>ow</w:t>
      </w:r>
      <w:r w:rsidR="007F7ADF">
        <w:rPr>
          <w:sz w:val="24"/>
          <w:szCs w:val="24"/>
        </w:rPr>
        <w:t>:</w:t>
      </w:r>
      <w:r w:rsidR="001B232A">
        <w:rPr>
          <w:sz w:val="24"/>
          <w:szCs w:val="24"/>
        </w:rPr>
        <w:t xml:space="preserve"> </w:t>
      </w:r>
      <w:r w:rsidR="00F467D0">
        <w:rPr>
          <w:sz w:val="24"/>
          <w:szCs w:val="24"/>
        </w:rPr>
        <w:t xml:space="preserve">among </w:t>
      </w:r>
      <w:r w:rsidR="00F2538A">
        <w:rPr>
          <w:sz w:val="24"/>
          <w:szCs w:val="24"/>
        </w:rPr>
        <w:t>Black students</w:t>
      </w:r>
      <w:r w:rsidR="00F467D0">
        <w:rPr>
          <w:sz w:val="24"/>
          <w:szCs w:val="24"/>
        </w:rPr>
        <w:t xml:space="preserve"> </w:t>
      </w:r>
      <w:r w:rsidR="00A953F3">
        <w:rPr>
          <w:sz w:val="24"/>
          <w:szCs w:val="24"/>
        </w:rPr>
        <w:t xml:space="preserve">who start their college career </w:t>
      </w:r>
      <w:r w:rsidR="00BB1713">
        <w:rPr>
          <w:sz w:val="24"/>
          <w:szCs w:val="24"/>
        </w:rPr>
        <w:t>there</w:t>
      </w:r>
      <w:r w:rsidR="00DD66EA">
        <w:rPr>
          <w:sz w:val="24"/>
          <w:szCs w:val="24"/>
        </w:rPr>
        <w:t>,</w:t>
      </w:r>
      <w:r w:rsidR="00BB1713">
        <w:rPr>
          <w:sz w:val="24"/>
          <w:szCs w:val="24"/>
        </w:rPr>
        <w:t xml:space="preserve"> </w:t>
      </w:r>
      <w:r w:rsidR="00A953F3">
        <w:rPr>
          <w:sz w:val="24"/>
          <w:szCs w:val="24"/>
        </w:rPr>
        <w:t xml:space="preserve">only </w:t>
      </w:r>
      <w:r w:rsidR="00F467D0">
        <w:rPr>
          <w:sz w:val="24"/>
          <w:szCs w:val="24"/>
        </w:rPr>
        <w:t>38</w:t>
      </w:r>
      <w:r w:rsidR="008B36BE" w:rsidRPr="00096CB6">
        <w:rPr>
          <w:sz w:val="24"/>
          <w:szCs w:val="24"/>
        </w:rPr>
        <w:t xml:space="preserve">% </w:t>
      </w:r>
      <w:r w:rsidR="00F467D0">
        <w:rPr>
          <w:sz w:val="24"/>
          <w:szCs w:val="24"/>
        </w:rPr>
        <w:t xml:space="preserve">obtain a certificate or an </w:t>
      </w:r>
      <w:r w:rsidR="00F467D0">
        <w:rPr>
          <w:sz w:val="24"/>
          <w:szCs w:val="24"/>
        </w:rPr>
        <w:lastRenderedPageBreak/>
        <w:t xml:space="preserve">associate or a bachelor’s degree </w:t>
      </w:r>
      <w:r w:rsidR="008B36BE" w:rsidRPr="00096CB6">
        <w:rPr>
          <w:sz w:val="24"/>
          <w:szCs w:val="24"/>
        </w:rPr>
        <w:t>within six years</w:t>
      </w:r>
      <w:r w:rsidR="00F467D0">
        <w:rPr>
          <w:sz w:val="24"/>
          <w:szCs w:val="24"/>
        </w:rPr>
        <w:t>; the remaining 62% earn no credential</w:t>
      </w:r>
      <w:r w:rsidR="008B36BE" w:rsidRPr="00096CB6">
        <w:rPr>
          <w:sz w:val="24"/>
          <w:szCs w:val="24"/>
        </w:rPr>
        <w:t xml:space="preserve"> (C</w:t>
      </w:r>
      <w:r w:rsidR="00F467D0">
        <w:rPr>
          <w:sz w:val="24"/>
          <w:szCs w:val="24"/>
        </w:rPr>
        <w:t>hen et al 2019: Table 2</w:t>
      </w:r>
      <w:r w:rsidR="008B36BE" w:rsidRPr="00096CB6">
        <w:rPr>
          <w:sz w:val="24"/>
          <w:szCs w:val="24"/>
        </w:rPr>
        <w:t xml:space="preserve">). </w:t>
      </w:r>
      <w:r w:rsidR="0077017F" w:rsidRPr="00096CB6">
        <w:rPr>
          <w:sz w:val="24"/>
          <w:szCs w:val="24"/>
        </w:rPr>
        <w:t xml:space="preserve"> </w:t>
      </w:r>
    </w:p>
    <w:p w14:paraId="369D1DAD" w14:textId="308BFBDB" w:rsidR="0077017F" w:rsidRPr="00096CB6" w:rsidRDefault="0077017F">
      <w:pPr>
        <w:rPr>
          <w:sz w:val="24"/>
          <w:szCs w:val="24"/>
        </w:rPr>
      </w:pPr>
      <w:r w:rsidRPr="00096CB6">
        <w:rPr>
          <w:sz w:val="24"/>
          <w:szCs w:val="24"/>
        </w:rPr>
        <w:t>Most students entering community college aspire to a bachelor’s degree, but few get that far</w:t>
      </w:r>
      <w:r w:rsidR="007B0A56">
        <w:rPr>
          <w:sz w:val="24"/>
          <w:szCs w:val="24"/>
        </w:rPr>
        <w:t>, in part because</w:t>
      </w:r>
      <w:r w:rsidRPr="00096CB6">
        <w:rPr>
          <w:sz w:val="24"/>
          <w:szCs w:val="24"/>
        </w:rPr>
        <w:t xml:space="preserve"> most do not manage to transfer to a four-year college. Those who do </w:t>
      </w:r>
      <w:r w:rsidR="00362977" w:rsidRPr="00096CB6">
        <w:rPr>
          <w:sz w:val="24"/>
          <w:szCs w:val="24"/>
        </w:rPr>
        <w:t>transfer</w:t>
      </w:r>
      <w:r w:rsidR="00FD1A10" w:rsidRPr="00096CB6">
        <w:rPr>
          <w:sz w:val="24"/>
          <w:szCs w:val="24"/>
        </w:rPr>
        <w:t xml:space="preserve"> frequently</w:t>
      </w:r>
      <w:r w:rsidRPr="00096CB6">
        <w:rPr>
          <w:sz w:val="24"/>
          <w:szCs w:val="24"/>
        </w:rPr>
        <w:t xml:space="preserve"> find that the</w:t>
      </w:r>
      <w:r w:rsidR="00362977" w:rsidRPr="00096CB6">
        <w:rPr>
          <w:sz w:val="24"/>
          <w:szCs w:val="24"/>
        </w:rPr>
        <w:t xml:space="preserve"> </w:t>
      </w:r>
      <w:r w:rsidRPr="00096CB6">
        <w:rPr>
          <w:sz w:val="24"/>
          <w:szCs w:val="24"/>
        </w:rPr>
        <w:t xml:space="preserve">new institution does not fully recognize the credits they </w:t>
      </w:r>
      <w:r w:rsidR="00362977" w:rsidRPr="00096CB6">
        <w:rPr>
          <w:sz w:val="24"/>
          <w:szCs w:val="24"/>
        </w:rPr>
        <w:t>accumulated at the community college</w:t>
      </w:r>
      <w:r w:rsidRPr="00096CB6">
        <w:rPr>
          <w:sz w:val="24"/>
          <w:szCs w:val="24"/>
        </w:rPr>
        <w:t>, so they have to take</w:t>
      </w:r>
      <w:r w:rsidR="00FD1A10" w:rsidRPr="00096CB6">
        <w:rPr>
          <w:sz w:val="24"/>
          <w:szCs w:val="24"/>
        </w:rPr>
        <w:t xml:space="preserve"> extra</w:t>
      </w:r>
      <w:r w:rsidRPr="00096CB6">
        <w:rPr>
          <w:sz w:val="24"/>
          <w:szCs w:val="24"/>
        </w:rPr>
        <w:t xml:space="preserve"> courses to </w:t>
      </w:r>
      <w:r w:rsidR="00FD1A10" w:rsidRPr="00096CB6">
        <w:rPr>
          <w:sz w:val="24"/>
          <w:szCs w:val="24"/>
        </w:rPr>
        <w:t>make up for those lost credits</w:t>
      </w:r>
      <w:r w:rsidR="000953E7">
        <w:rPr>
          <w:sz w:val="24"/>
          <w:szCs w:val="24"/>
        </w:rPr>
        <w:t xml:space="preserve"> (</w:t>
      </w:r>
      <w:r w:rsidR="006008AE">
        <w:rPr>
          <w:sz w:val="24"/>
          <w:szCs w:val="24"/>
        </w:rPr>
        <w:t xml:space="preserve">Monaghan and Attewell 2015). </w:t>
      </w:r>
      <w:r w:rsidR="00791A3F">
        <w:rPr>
          <w:sz w:val="24"/>
          <w:szCs w:val="24"/>
        </w:rPr>
        <w:t>Even if</w:t>
      </w:r>
      <w:r w:rsidR="006008AE">
        <w:rPr>
          <w:sz w:val="24"/>
          <w:szCs w:val="24"/>
        </w:rPr>
        <w:t xml:space="preserve"> they do make it all the way to a bachelor’s degree</w:t>
      </w:r>
      <w:r w:rsidR="002236EE">
        <w:rPr>
          <w:sz w:val="24"/>
          <w:szCs w:val="24"/>
        </w:rPr>
        <w:t>, individuals</w:t>
      </w:r>
      <w:r w:rsidR="006008AE">
        <w:rPr>
          <w:sz w:val="24"/>
          <w:szCs w:val="24"/>
        </w:rPr>
        <w:t xml:space="preserve"> </w:t>
      </w:r>
      <w:r w:rsidR="007F7ADF">
        <w:rPr>
          <w:sz w:val="24"/>
          <w:szCs w:val="24"/>
        </w:rPr>
        <w:t xml:space="preserve">who started at a </w:t>
      </w:r>
      <w:r w:rsidR="006008AE">
        <w:rPr>
          <w:sz w:val="24"/>
          <w:szCs w:val="24"/>
        </w:rPr>
        <w:t xml:space="preserve">community college earn significantly less </w:t>
      </w:r>
      <w:r w:rsidR="002236EE">
        <w:rPr>
          <w:sz w:val="24"/>
          <w:szCs w:val="24"/>
        </w:rPr>
        <w:t>in later years</w:t>
      </w:r>
      <w:r w:rsidR="00791A3F">
        <w:rPr>
          <w:sz w:val="24"/>
          <w:szCs w:val="24"/>
        </w:rPr>
        <w:t xml:space="preserve"> </w:t>
      </w:r>
      <w:r w:rsidR="006008AE">
        <w:rPr>
          <w:sz w:val="24"/>
          <w:szCs w:val="24"/>
        </w:rPr>
        <w:t>than counterparts who began at a four-year college (Witteveen and Attewell 2019</w:t>
      </w:r>
      <w:r w:rsidR="00467377">
        <w:rPr>
          <w:sz w:val="24"/>
          <w:szCs w:val="24"/>
        </w:rPr>
        <w:t>a</w:t>
      </w:r>
      <w:r w:rsidR="006008AE">
        <w:rPr>
          <w:sz w:val="24"/>
          <w:szCs w:val="24"/>
        </w:rPr>
        <w:t>.)</w:t>
      </w:r>
    </w:p>
    <w:p w14:paraId="62C637A9" w14:textId="296AC1E4" w:rsidR="00084CD4" w:rsidRPr="00096CB6" w:rsidRDefault="00F75193">
      <w:pPr>
        <w:rPr>
          <w:sz w:val="24"/>
          <w:szCs w:val="24"/>
        </w:rPr>
      </w:pPr>
      <w:r w:rsidRPr="00096CB6">
        <w:rPr>
          <w:sz w:val="24"/>
          <w:szCs w:val="24"/>
        </w:rPr>
        <w:t xml:space="preserve">Two </w:t>
      </w:r>
      <w:r w:rsidR="00D165F7" w:rsidRPr="00096CB6">
        <w:rPr>
          <w:sz w:val="24"/>
          <w:szCs w:val="24"/>
        </w:rPr>
        <w:t>other</w:t>
      </w:r>
      <w:r w:rsidRPr="00096CB6">
        <w:rPr>
          <w:sz w:val="24"/>
          <w:szCs w:val="24"/>
        </w:rPr>
        <w:t xml:space="preserve"> issues </w:t>
      </w:r>
      <w:r w:rsidR="007E6D45">
        <w:rPr>
          <w:sz w:val="24"/>
          <w:szCs w:val="24"/>
        </w:rPr>
        <w:t xml:space="preserve">are </w:t>
      </w:r>
      <w:r w:rsidR="00732F2F">
        <w:rPr>
          <w:sz w:val="24"/>
          <w:szCs w:val="24"/>
        </w:rPr>
        <w:t xml:space="preserve">important to </w:t>
      </w:r>
      <w:r w:rsidR="00793A4B">
        <w:rPr>
          <w:sz w:val="24"/>
          <w:szCs w:val="24"/>
        </w:rPr>
        <w:t>mention</w:t>
      </w:r>
      <w:r w:rsidRPr="00096CB6">
        <w:rPr>
          <w:sz w:val="24"/>
          <w:szCs w:val="24"/>
        </w:rPr>
        <w:t xml:space="preserve"> about the current educational </w:t>
      </w:r>
      <w:r w:rsidR="008B36BE" w:rsidRPr="00096CB6">
        <w:rPr>
          <w:sz w:val="24"/>
          <w:szCs w:val="24"/>
        </w:rPr>
        <w:t>cont</w:t>
      </w:r>
      <w:r w:rsidR="00E64624" w:rsidRPr="00096CB6">
        <w:rPr>
          <w:sz w:val="24"/>
          <w:szCs w:val="24"/>
        </w:rPr>
        <w:t>ext</w:t>
      </w:r>
      <w:r w:rsidR="0048691A" w:rsidRPr="00096CB6">
        <w:rPr>
          <w:sz w:val="24"/>
          <w:szCs w:val="24"/>
        </w:rPr>
        <w:t xml:space="preserve"> for </w:t>
      </w:r>
      <w:r w:rsidR="009A7F20">
        <w:rPr>
          <w:sz w:val="24"/>
          <w:szCs w:val="24"/>
        </w:rPr>
        <w:t xml:space="preserve">Black </w:t>
      </w:r>
      <w:r w:rsidR="0048691A" w:rsidRPr="00096CB6">
        <w:rPr>
          <w:sz w:val="24"/>
          <w:szCs w:val="24"/>
        </w:rPr>
        <w:t>Americans</w:t>
      </w:r>
      <w:r w:rsidR="00D165F7" w:rsidRPr="00096CB6">
        <w:rPr>
          <w:sz w:val="24"/>
          <w:szCs w:val="24"/>
        </w:rPr>
        <w:t xml:space="preserve">. </w:t>
      </w:r>
      <w:r w:rsidR="00362977" w:rsidRPr="00096CB6">
        <w:rPr>
          <w:sz w:val="24"/>
          <w:szCs w:val="24"/>
        </w:rPr>
        <w:t>Over</w:t>
      </w:r>
      <w:r w:rsidR="00D165F7" w:rsidRPr="00096CB6">
        <w:rPr>
          <w:sz w:val="24"/>
          <w:szCs w:val="24"/>
        </w:rPr>
        <w:t xml:space="preserve"> the last two decades </w:t>
      </w:r>
      <w:r w:rsidR="00BA4F75">
        <w:rPr>
          <w:sz w:val="24"/>
          <w:szCs w:val="24"/>
        </w:rPr>
        <w:t>Black</w:t>
      </w:r>
      <w:r w:rsidR="00D165F7" w:rsidRPr="00096CB6">
        <w:rPr>
          <w:sz w:val="24"/>
          <w:szCs w:val="24"/>
        </w:rPr>
        <w:t xml:space="preserve"> students </w:t>
      </w:r>
      <w:r w:rsidR="00362977" w:rsidRPr="00096CB6">
        <w:rPr>
          <w:sz w:val="24"/>
          <w:szCs w:val="24"/>
        </w:rPr>
        <w:t xml:space="preserve">have </w:t>
      </w:r>
      <w:r w:rsidR="00D165F7" w:rsidRPr="00096CB6">
        <w:rPr>
          <w:sz w:val="24"/>
          <w:szCs w:val="24"/>
        </w:rPr>
        <w:t xml:space="preserve">entered for-profit </w:t>
      </w:r>
      <w:r w:rsidR="00E64624" w:rsidRPr="00096CB6">
        <w:rPr>
          <w:sz w:val="24"/>
          <w:szCs w:val="24"/>
        </w:rPr>
        <w:t>colleges</w:t>
      </w:r>
      <w:r w:rsidR="009F6D59">
        <w:rPr>
          <w:sz w:val="24"/>
          <w:szCs w:val="24"/>
        </w:rPr>
        <w:t xml:space="preserve"> in large numbers</w:t>
      </w:r>
      <w:r w:rsidR="008B1E0F">
        <w:rPr>
          <w:sz w:val="24"/>
          <w:szCs w:val="24"/>
        </w:rPr>
        <w:t xml:space="preserve"> (Cotton 2017, Ruch 2001)</w:t>
      </w:r>
      <w:r w:rsidR="00D165F7" w:rsidRPr="00096CB6">
        <w:rPr>
          <w:sz w:val="24"/>
          <w:szCs w:val="24"/>
        </w:rPr>
        <w:t xml:space="preserve">. </w:t>
      </w:r>
      <w:r w:rsidR="007E1883">
        <w:rPr>
          <w:sz w:val="24"/>
          <w:szCs w:val="24"/>
        </w:rPr>
        <w:t xml:space="preserve">Our analyses </w:t>
      </w:r>
      <w:r w:rsidR="00143D50">
        <w:rPr>
          <w:sz w:val="24"/>
          <w:szCs w:val="24"/>
        </w:rPr>
        <w:t xml:space="preserve">of </w:t>
      </w:r>
      <w:r w:rsidR="002C7279">
        <w:rPr>
          <w:sz w:val="24"/>
          <w:szCs w:val="24"/>
        </w:rPr>
        <w:t>government</w:t>
      </w:r>
      <w:r w:rsidR="00143D50">
        <w:rPr>
          <w:sz w:val="24"/>
          <w:szCs w:val="24"/>
        </w:rPr>
        <w:t xml:space="preserve"> data </w:t>
      </w:r>
      <w:r w:rsidR="007E1883">
        <w:rPr>
          <w:sz w:val="24"/>
          <w:szCs w:val="24"/>
        </w:rPr>
        <w:t>show that 10.5% of Black undergraduate men and 12% of Black undergraduate women enrolled in for</w:t>
      </w:r>
      <w:r w:rsidR="009223E0">
        <w:rPr>
          <w:sz w:val="24"/>
          <w:szCs w:val="24"/>
        </w:rPr>
        <w:t>-</w:t>
      </w:r>
      <w:r w:rsidR="007E1883">
        <w:rPr>
          <w:sz w:val="24"/>
          <w:szCs w:val="24"/>
        </w:rPr>
        <w:t xml:space="preserve">profit colleges in 2010. </w:t>
      </w:r>
      <w:r w:rsidR="003B202B" w:rsidRPr="00096CB6">
        <w:rPr>
          <w:sz w:val="24"/>
          <w:szCs w:val="24"/>
        </w:rPr>
        <w:t>R</w:t>
      </w:r>
      <w:r w:rsidR="00D165F7" w:rsidRPr="00096CB6">
        <w:rPr>
          <w:sz w:val="24"/>
          <w:szCs w:val="24"/>
        </w:rPr>
        <w:t>esearch suggests that graduation rates at for-profit colleges are about the same</w:t>
      </w:r>
      <w:r w:rsidR="00676EF1">
        <w:rPr>
          <w:sz w:val="24"/>
          <w:szCs w:val="24"/>
        </w:rPr>
        <w:t xml:space="preserve"> as at </w:t>
      </w:r>
      <w:r w:rsidR="00D165F7" w:rsidRPr="00096CB6">
        <w:rPr>
          <w:sz w:val="24"/>
          <w:szCs w:val="24"/>
        </w:rPr>
        <w:t>public colleges</w:t>
      </w:r>
      <w:r w:rsidR="00BA5E65" w:rsidRPr="00096CB6">
        <w:rPr>
          <w:sz w:val="24"/>
          <w:szCs w:val="24"/>
        </w:rPr>
        <w:t>, for students of equivalent backgrounds</w:t>
      </w:r>
      <w:r w:rsidR="00E7029E">
        <w:rPr>
          <w:sz w:val="24"/>
          <w:szCs w:val="24"/>
        </w:rPr>
        <w:t xml:space="preserve"> (Deming et al 2012)</w:t>
      </w:r>
      <w:r w:rsidR="00D165F7" w:rsidRPr="00096CB6">
        <w:rPr>
          <w:sz w:val="24"/>
          <w:szCs w:val="24"/>
        </w:rPr>
        <w:t xml:space="preserve">. But all evidence </w:t>
      </w:r>
      <w:r w:rsidR="00A953F3">
        <w:rPr>
          <w:sz w:val="24"/>
          <w:szCs w:val="24"/>
        </w:rPr>
        <w:t>indicates</w:t>
      </w:r>
      <w:r w:rsidR="00D165F7" w:rsidRPr="00096CB6">
        <w:rPr>
          <w:sz w:val="24"/>
          <w:szCs w:val="24"/>
        </w:rPr>
        <w:t xml:space="preserve"> that students at the for-profits pay a lot more in tuit</w:t>
      </w:r>
      <w:r w:rsidR="00084CD4" w:rsidRPr="00096CB6">
        <w:rPr>
          <w:sz w:val="24"/>
          <w:szCs w:val="24"/>
        </w:rPr>
        <w:t>i</w:t>
      </w:r>
      <w:r w:rsidR="00D165F7" w:rsidRPr="00096CB6">
        <w:rPr>
          <w:sz w:val="24"/>
          <w:szCs w:val="24"/>
        </w:rPr>
        <w:t xml:space="preserve">on and fees than their counterparts </w:t>
      </w:r>
      <w:r w:rsidR="00A953F3">
        <w:rPr>
          <w:sz w:val="24"/>
          <w:szCs w:val="24"/>
        </w:rPr>
        <w:t>who attend</w:t>
      </w:r>
      <w:r w:rsidR="00D165F7" w:rsidRPr="00096CB6">
        <w:rPr>
          <w:sz w:val="24"/>
          <w:szCs w:val="24"/>
        </w:rPr>
        <w:t xml:space="preserve"> </w:t>
      </w:r>
      <w:r w:rsidR="00A953F3">
        <w:rPr>
          <w:sz w:val="24"/>
          <w:szCs w:val="24"/>
        </w:rPr>
        <w:t>public</w:t>
      </w:r>
      <w:r w:rsidR="00D165F7" w:rsidRPr="00096CB6">
        <w:rPr>
          <w:sz w:val="24"/>
          <w:szCs w:val="24"/>
        </w:rPr>
        <w:t xml:space="preserve"> colleges. The vast majority </w:t>
      </w:r>
      <w:r w:rsidR="00A953F3">
        <w:rPr>
          <w:sz w:val="24"/>
          <w:szCs w:val="24"/>
        </w:rPr>
        <w:t xml:space="preserve">of students at for-profit colleges </w:t>
      </w:r>
      <w:r w:rsidR="00362977" w:rsidRPr="00096CB6">
        <w:rPr>
          <w:sz w:val="24"/>
          <w:szCs w:val="24"/>
        </w:rPr>
        <w:t xml:space="preserve">pay by taking out </w:t>
      </w:r>
      <w:r w:rsidR="00C86638" w:rsidRPr="00096CB6">
        <w:rPr>
          <w:sz w:val="24"/>
          <w:szCs w:val="24"/>
        </w:rPr>
        <w:t xml:space="preserve">student </w:t>
      </w:r>
      <w:r w:rsidR="00084CD4" w:rsidRPr="00096CB6">
        <w:rPr>
          <w:sz w:val="24"/>
          <w:szCs w:val="24"/>
        </w:rPr>
        <w:t xml:space="preserve">loans; the for-profit sector </w:t>
      </w:r>
      <w:r w:rsidR="00A953F3">
        <w:rPr>
          <w:sz w:val="24"/>
          <w:szCs w:val="24"/>
        </w:rPr>
        <w:t>loads</w:t>
      </w:r>
      <w:r w:rsidR="00084CD4" w:rsidRPr="00096CB6">
        <w:rPr>
          <w:sz w:val="24"/>
          <w:szCs w:val="24"/>
        </w:rPr>
        <w:t xml:space="preserve"> debt upon its students</w:t>
      </w:r>
      <w:r w:rsidR="00AC014A">
        <w:rPr>
          <w:sz w:val="24"/>
          <w:szCs w:val="24"/>
        </w:rPr>
        <w:t xml:space="preserve"> (Dynarski and Kriesman 2013)</w:t>
      </w:r>
      <w:r w:rsidR="00084CD4" w:rsidRPr="00096CB6">
        <w:rPr>
          <w:sz w:val="24"/>
          <w:szCs w:val="24"/>
        </w:rPr>
        <w:t xml:space="preserve">. It comes as no surprise therefore that default rates are especially high </w:t>
      </w:r>
      <w:r w:rsidR="00362977" w:rsidRPr="00096CB6">
        <w:rPr>
          <w:sz w:val="24"/>
          <w:szCs w:val="24"/>
        </w:rPr>
        <w:t>for</w:t>
      </w:r>
      <w:r w:rsidR="00084CD4" w:rsidRPr="00096CB6">
        <w:rPr>
          <w:sz w:val="24"/>
          <w:szCs w:val="24"/>
        </w:rPr>
        <w:t xml:space="preserve"> those institutions</w:t>
      </w:r>
      <w:r w:rsidR="00475AAD">
        <w:rPr>
          <w:sz w:val="24"/>
          <w:szCs w:val="24"/>
        </w:rPr>
        <w:t xml:space="preserve">. </w:t>
      </w:r>
      <w:r w:rsidR="00BA4F75">
        <w:rPr>
          <w:sz w:val="24"/>
          <w:szCs w:val="24"/>
        </w:rPr>
        <w:t>Black</w:t>
      </w:r>
      <w:r w:rsidR="00084CD4" w:rsidRPr="00096CB6">
        <w:rPr>
          <w:sz w:val="24"/>
          <w:szCs w:val="24"/>
        </w:rPr>
        <w:t xml:space="preserve"> non-completers who attended for-profit colleges have the worst loan repayment records</w:t>
      </w:r>
      <w:r w:rsidR="003A3F2D" w:rsidRPr="00096CB6">
        <w:rPr>
          <w:sz w:val="24"/>
          <w:szCs w:val="24"/>
        </w:rPr>
        <w:t xml:space="preserve"> of all</w:t>
      </w:r>
      <w:r w:rsidR="00467377">
        <w:rPr>
          <w:sz w:val="24"/>
          <w:szCs w:val="24"/>
        </w:rPr>
        <w:t xml:space="preserve"> (</w:t>
      </w:r>
      <w:r w:rsidR="00AC014A">
        <w:rPr>
          <w:sz w:val="24"/>
          <w:szCs w:val="24"/>
        </w:rPr>
        <w:t>Scott-Clayton 2</w:t>
      </w:r>
      <w:r w:rsidR="00437F79">
        <w:rPr>
          <w:sz w:val="24"/>
          <w:szCs w:val="24"/>
        </w:rPr>
        <w:t>01</w:t>
      </w:r>
      <w:r w:rsidR="00AC014A">
        <w:rPr>
          <w:sz w:val="24"/>
          <w:szCs w:val="24"/>
        </w:rPr>
        <w:t xml:space="preserve">8, </w:t>
      </w:r>
      <w:r w:rsidR="00467377">
        <w:rPr>
          <w:sz w:val="24"/>
          <w:szCs w:val="24"/>
        </w:rPr>
        <w:t>Witteveen and Attewell 2019b)</w:t>
      </w:r>
      <w:r w:rsidR="00084CD4" w:rsidRPr="00096CB6">
        <w:rPr>
          <w:sz w:val="24"/>
          <w:szCs w:val="24"/>
        </w:rPr>
        <w:t>.</w:t>
      </w:r>
    </w:p>
    <w:p w14:paraId="05A116D8" w14:textId="27C9575F" w:rsidR="00107B79" w:rsidRPr="00096CB6" w:rsidRDefault="00084CD4">
      <w:pPr>
        <w:rPr>
          <w:sz w:val="24"/>
          <w:szCs w:val="24"/>
        </w:rPr>
      </w:pPr>
      <w:r w:rsidRPr="00096CB6">
        <w:rPr>
          <w:sz w:val="24"/>
          <w:szCs w:val="24"/>
        </w:rPr>
        <w:t xml:space="preserve">A second issue concerns the extent to which </w:t>
      </w:r>
      <w:r w:rsidR="00BA4F75">
        <w:rPr>
          <w:sz w:val="24"/>
          <w:szCs w:val="24"/>
        </w:rPr>
        <w:t>Black</w:t>
      </w:r>
      <w:r w:rsidRPr="00096CB6">
        <w:rPr>
          <w:sz w:val="24"/>
          <w:szCs w:val="24"/>
        </w:rPr>
        <w:t xml:space="preserve"> students find predominantly-</w:t>
      </w:r>
      <w:r w:rsidR="009929AE">
        <w:rPr>
          <w:sz w:val="24"/>
          <w:szCs w:val="24"/>
        </w:rPr>
        <w:t>White</w:t>
      </w:r>
      <w:r w:rsidRPr="00096CB6">
        <w:rPr>
          <w:sz w:val="24"/>
          <w:szCs w:val="24"/>
        </w:rPr>
        <w:t xml:space="preserve"> colleges to be unsupportive or unwelcoming, and whether this </w:t>
      </w:r>
      <w:r w:rsidR="003B202B" w:rsidRPr="00096CB6">
        <w:rPr>
          <w:sz w:val="24"/>
          <w:szCs w:val="24"/>
        </w:rPr>
        <w:t xml:space="preserve">might </w:t>
      </w:r>
      <w:r w:rsidRPr="00096CB6">
        <w:rPr>
          <w:sz w:val="24"/>
          <w:szCs w:val="24"/>
        </w:rPr>
        <w:t xml:space="preserve">account for the lower retention and graduation rates of </w:t>
      </w:r>
      <w:r w:rsidR="00BA4F75">
        <w:rPr>
          <w:sz w:val="24"/>
          <w:szCs w:val="24"/>
        </w:rPr>
        <w:t>Black</w:t>
      </w:r>
      <w:r w:rsidRPr="00096CB6">
        <w:rPr>
          <w:sz w:val="24"/>
          <w:szCs w:val="24"/>
        </w:rPr>
        <w:t xml:space="preserve"> collegians, rather than or in addition t</w:t>
      </w:r>
      <w:r w:rsidR="00C86638" w:rsidRPr="00096CB6">
        <w:rPr>
          <w:sz w:val="24"/>
          <w:szCs w:val="24"/>
        </w:rPr>
        <w:t>o</w:t>
      </w:r>
      <w:r w:rsidRPr="00096CB6">
        <w:rPr>
          <w:sz w:val="24"/>
          <w:szCs w:val="24"/>
        </w:rPr>
        <w:t xml:space="preserve"> issues of academic preparation, financial stresses, and family obligations. This </w:t>
      </w:r>
      <w:r w:rsidR="00362977" w:rsidRPr="00096CB6">
        <w:rPr>
          <w:sz w:val="24"/>
          <w:szCs w:val="24"/>
        </w:rPr>
        <w:t>possibility</w:t>
      </w:r>
      <w:r w:rsidR="00C86638" w:rsidRPr="00096CB6">
        <w:rPr>
          <w:sz w:val="24"/>
          <w:szCs w:val="24"/>
        </w:rPr>
        <w:t xml:space="preserve"> is</w:t>
      </w:r>
      <w:r w:rsidRPr="00096CB6">
        <w:rPr>
          <w:sz w:val="24"/>
          <w:szCs w:val="24"/>
        </w:rPr>
        <w:t xml:space="preserve"> </w:t>
      </w:r>
      <w:r w:rsidR="00C94BB1">
        <w:rPr>
          <w:sz w:val="24"/>
          <w:szCs w:val="24"/>
        </w:rPr>
        <w:t xml:space="preserve">sometimes </w:t>
      </w:r>
      <w:r w:rsidRPr="00096CB6">
        <w:rPr>
          <w:sz w:val="24"/>
          <w:szCs w:val="24"/>
        </w:rPr>
        <w:t xml:space="preserve">raised by advocates of HBCUs, who view majority </w:t>
      </w:r>
      <w:r w:rsidR="00BA4F75">
        <w:rPr>
          <w:sz w:val="24"/>
          <w:szCs w:val="24"/>
        </w:rPr>
        <w:t>Black</w:t>
      </w:r>
      <w:r w:rsidRPr="00096CB6">
        <w:rPr>
          <w:sz w:val="24"/>
          <w:szCs w:val="24"/>
        </w:rPr>
        <w:t xml:space="preserve"> colleges as culturally </w:t>
      </w:r>
      <w:r w:rsidR="0019741B">
        <w:rPr>
          <w:sz w:val="24"/>
          <w:szCs w:val="24"/>
        </w:rPr>
        <w:t xml:space="preserve">more </w:t>
      </w:r>
      <w:r w:rsidRPr="00096CB6">
        <w:rPr>
          <w:sz w:val="24"/>
          <w:szCs w:val="24"/>
        </w:rPr>
        <w:t xml:space="preserve">supportive and caring </w:t>
      </w:r>
      <w:r w:rsidR="00C94BB1">
        <w:rPr>
          <w:sz w:val="24"/>
          <w:szCs w:val="24"/>
        </w:rPr>
        <w:t xml:space="preserve">places for </w:t>
      </w:r>
      <w:r w:rsidRPr="00096CB6">
        <w:rPr>
          <w:sz w:val="24"/>
          <w:szCs w:val="24"/>
        </w:rPr>
        <w:t xml:space="preserve">their students. </w:t>
      </w:r>
    </w:p>
    <w:p w14:paraId="6AE3E085" w14:textId="3E4D560B" w:rsidR="009250D7" w:rsidRDefault="00600C0B">
      <w:pPr>
        <w:rPr>
          <w:sz w:val="24"/>
          <w:szCs w:val="24"/>
        </w:rPr>
      </w:pPr>
      <w:r w:rsidRPr="00096CB6">
        <w:rPr>
          <w:sz w:val="24"/>
          <w:szCs w:val="24"/>
        </w:rPr>
        <w:t>Prior research</w:t>
      </w:r>
      <w:r w:rsidR="00AB1CB2" w:rsidRPr="00096CB6">
        <w:rPr>
          <w:sz w:val="24"/>
          <w:szCs w:val="24"/>
        </w:rPr>
        <w:t xml:space="preserve"> </w:t>
      </w:r>
      <w:r w:rsidRPr="00096CB6">
        <w:rPr>
          <w:sz w:val="24"/>
          <w:szCs w:val="24"/>
        </w:rPr>
        <w:t>speak</w:t>
      </w:r>
      <w:r w:rsidR="00AB1CB2" w:rsidRPr="00096CB6">
        <w:rPr>
          <w:sz w:val="24"/>
          <w:szCs w:val="24"/>
        </w:rPr>
        <w:t>s</w:t>
      </w:r>
      <w:r w:rsidRPr="00096CB6">
        <w:rPr>
          <w:sz w:val="24"/>
          <w:szCs w:val="24"/>
        </w:rPr>
        <w:t xml:space="preserve"> to this but </w:t>
      </w:r>
      <w:r w:rsidR="00D21333" w:rsidRPr="00096CB6">
        <w:rPr>
          <w:sz w:val="24"/>
          <w:szCs w:val="24"/>
        </w:rPr>
        <w:t>reaches</w:t>
      </w:r>
      <w:r w:rsidRPr="00096CB6">
        <w:rPr>
          <w:sz w:val="24"/>
          <w:szCs w:val="24"/>
        </w:rPr>
        <w:t xml:space="preserve"> a complicated </w:t>
      </w:r>
      <w:r w:rsidR="00D21333" w:rsidRPr="00096CB6">
        <w:rPr>
          <w:sz w:val="24"/>
          <w:szCs w:val="24"/>
        </w:rPr>
        <w:t>conclusion</w:t>
      </w:r>
      <w:r w:rsidRPr="00096CB6">
        <w:rPr>
          <w:sz w:val="24"/>
          <w:szCs w:val="24"/>
        </w:rPr>
        <w:t xml:space="preserve">. </w:t>
      </w:r>
      <w:r w:rsidR="00B4474A">
        <w:rPr>
          <w:sz w:val="24"/>
          <w:szCs w:val="24"/>
        </w:rPr>
        <w:t>S</w:t>
      </w:r>
      <w:r w:rsidRPr="00096CB6">
        <w:rPr>
          <w:sz w:val="24"/>
          <w:szCs w:val="24"/>
        </w:rPr>
        <w:t xml:space="preserve">tudies of </w:t>
      </w:r>
      <w:r w:rsidR="00BA4F75">
        <w:rPr>
          <w:sz w:val="24"/>
          <w:szCs w:val="24"/>
        </w:rPr>
        <w:t>Black</w:t>
      </w:r>
      <w:r w:rsidRPr="00096CB6">
        <w:rPr>
          <w:sz w:val="24"/>
          <w:szCs w:val="24"/>
        </w:rPr>
        <w:t xml:space="preserve"> </w:t>
      </w:r>
      <w:r w:rsidR="00E56F10">
        <w:rPr>
          <w:sz w:val="24"/>
          <w:szCs w:val="24"/>
        </w:rPr>
        <w:t xml:space="preserve">and low-income </w:t>
      </w:r>
      <w:r w:rsidRPr="00096CB6">
        <w:rPr>
          <w:sz w:val="24"/>
          <w:szCs w:val="24"/>
        </w:rPr>
        <w:t xml:space="preserve">students at </w:t>
      </w:r>
      <w:r w:rsidR="00D21333" w:rsidRPr="00096CB6">
        <w:rPr>
          <w:sz w:val="24"/>
          <w:szCs w:val="24"/>
        </w:rPr>
        <w:t xml:space="preserve">highly-selective </w:t>
      </w:r>
      <w:r w:rsidR="003B202B" w:rsidRPr="00096CB6">
        <w:rPr>
          <w:sz w:val="24"/>
          <w:szCs w:val="24"/>
        </w:rPr>
        <w:t>predominantly-</w:t>
      </w:r>
      <w:r w:rsidR="009929AE">
        <w:rPr>
          <w:sz w:val="24"/>
          <w:szCs w:val="24"/>
        </w:rPr>
        <w:t>White</w:t>
      </w:r>
      <w:r w:rsidRPr="00096CB6">
        <w:rPr>
          <w:sz w:val="24"/>
          <w:szCs w:val="24"/>
        </w:rPr>
        <w:t xml:space="preserve"> institutions report </w:t>
      </w:r>
      <w:r w:rsidR="001D145B">
        <w:rPr>
          <w:sz w:val="24"/>
          <w:szCs w:val="24"/>
        </w:rPr>
        <w:t xml:space="preserve">that </w:t>
      </w:r>
      <w:r w:rsidR="00107B79" w:rsidRPr="00096CB6">
        <w:rPr>
          <w:sz w:val="24"/>
          <w:szCs w:val="24"/>
        </w:rPr>
        <w:t xml:space="preserve">many </w:t>
      </w:r>
      <w:r w:rsidR="00E56F10">
        <w:rPr>
          <w:sz w:val="24"/>
          <w:szCs w:val="24"/>
        </w:rPr>
        <w:t>such</w:t>
      </w:r>
      <w:r w:rsidRPr="00096CB6">
        <w:rPr>
          <w:sz w:val="24"/>
          <w:szCs w:val="24"/>
        </w:rPr>
        <w:t xml:space="preserve"> students </w:t>
      </w:r>
      <w:r w:rsidR="00362977" w:rsidRPr="00096CB6">
        <w:rPr>
          <w:sz w:val="24"/>
          <w:szCs w:val="24"/>
        </w:rPr>
        <w:t>have</w:t>
      </w:r>
      <w:r w:rsidRPr="00096CB6">
        <w:rPr>
          <w:sz w:val="24"/>
          <w:szCs w:val="24"/>
        </w:rPr>
        <w:t xml:space="preserve"> to study extremely hard to keep up</w:t>
      </w:r>
      <w:r w:rsidR="00696842">
        <w:rPr>
          <w:sz w:val="24"/>
          <w:szCs w:val="24"/>
        </w:rPr>
        <w:t xml:space="preserve"> </w:t>
      </w:r>
      <w:r w:rsidR="009250D7">
        <w:rPr>
          <w:sz w:val="24"/>
          <w:szCs w:val="24"/>
        </w:rPr>
        <w:t>and often find college a very stressful and joyless experience</w:t>
      </w:r>
      <w:r w:rsidR="00477D5A">
        <w:rPr>
          <w:sz w:val="24"/>
          <w:szCs w:val="24"/>
        </w:rPr>
        <w:t xml:space="preserve"> </w:t>
      </w:r>
      <w:r w:rsidR="00696842">
        <w:rPr>
          <w:sz w:val="24"/>
          <w:szCs w:val="24"/>
        </w:rPr>
        <w:t>(</w:t>
      </w:r>
      <w:r w:rsidR="00453F3B" w:rsidRPr="0016120C">
        <w:rPr>
          <w:sz w:val="24"/>
          <w:szCs w:val="24"/>
        </w:rPr>
        <w:t>Arcidiacono et. al. 2016</w:t>
      </w:r>
      <w:r w:rsidR="00453F3B">
        <w:rPr>
          <w:sz w:val="24"/>
          <w:szCs w:val="24"/>
        </w:rPr>
        <w:t>,</w:t>
      </w:r>
      <w:r w:rsidR="00453F3B" w:rsidRPr="0016120C">
        <w:rPr>
          <w:sz w:val="24"/>
          <w:szCs w:val="24"/>
        </w:rPr>
        <w:t xml:space="preserve"> </w:t>
      </w:r>
      <w:r w:rsidR="00E56F10">
        <w:rPr>
          <w:sz w:val="24"/>
          <w:szCs w:val="24"/>
        </w:rPr>
        <w:t xml:space="preserve">Aries 2008, Byrd 2017, </w:t>
      </w:r>
      <w:r w:rsidR="009250D7">
        <w:rPr>
          <w:sz w:val="24"/>
          <w:szCs w:val="24"/>
        </w:rPr>
        <w:t xml:space="preserve">Goodwin and Weiss 2006, </w:t>
      </w:r>
      <w:r w:rsidR="00696842">
        <w:rPr>
          <w:sz w:val="24"/>
          <w:szCs w:val="24"/>
        </w:rPr>
        <w:t>Jack 2019</w:t>
      </w:r>
      <w:r w:rsidR="00E56F10">
        <w:rPr>
          <w:sz w:val="24"/>
          <w:szCs w:val="24"/>
        </w:rPr>
        <w:t>, Lee 2016</w:t>
      </w:r>
      <w:r w:rsidR="00696842">
        <w:rPr>
          <w:sz w:val="24"/>
          <w:szCs w:val="24"/>
        </w:rPr>
        <w:t>)</w:t>
      </w:r>
      <w:r w:rsidRPr="00096CB6">
        <w:rPr>
          <w:sz w:val="24"/>
          <w:szCs w:val="24"/>
        </w:rPr>
        <w:t xml:space="preserve">. </w:t>
      </w:r>
      <w:r w:rsidR="003B202B" w:rsidRPr="00096CB6">
        <w:rPr>
          <w:sz w:val="24"/>
          <w:szCs w:val="24"/>
        </w:rPr>
        <w:t>M</w:t>
      </w:r>
      <w:r w:rsidR="00D21333" w:rsidRPr="00096CB6">
        <w:rPr>
          <w:sz w:val="24"/>
          <w:szCs w:val="24"/>
        </w:rPr>
        <w:t xml:space="preserve">inority </w:t>
      </w:r>
      <w:r w:rsidR="00E56F10">
        <w:rPr>
          <w:sz w:val="24"/>
          <w:szCs w:val="24"/>
        </w:rPr>
        <w:t xml:space="preserve">and low-income </w:t>
      </w:r>
      <w:r w:rsidR="00D21333" w:rsidRPr="00096CB6">
        <w:rPr>
          <w:sz w:val="24"/>
          <w:szCs w:val="24"/>
        </w:rPr>
        <w:t xml:space="preserve">freshmen </w:t>
      </w:r>
      <w:r w:rsidRPr="00096CB6">
        <w:rPr>
          <w:sz w:val="24"/>
          <w:szCs w:val="24"/>
        </w:rPr>
        <w:t xml:space="preserve">are </w:t>
      </w:r>
      <w:r w:rsidR="003B202B" w:rsidRPr="00096CB6">
        <w:rPr>
          <w:sz w:val="24"/>
          <w:szCs w:val="24"/>
        </w:rPr>
        <w:t xml:space="preserve">often </w:t>
      </w:r>
      <w:r w:rsidRPr="00096CB6">
        <w:rPr>
          <w:sz w:val="24"/>
          <w:szCs w:val="24"/>
        </w:rPr>
        <w:t xml:space="preserve">shocked to find that even though they were outstanding students </w:t>
      </w:r>
      <w:r w:rsidR="00362977" w:rsidRPr="00096CB6">
        <w:rPr>
          <w:sz w:val="24"/>
          <w:szCs w:val="24"/>
        </w:rPr>
        <w:t>at</w:t>
      </w:r>
      <w:r w:rsidRPr="00096CB6">
        <w:rPr>
          <w:sz w:val="24"/>
          <w:szCs w:val="24"/>
        </w:rPr>
        <w:t xml:space="preserve"> their high schools, their </w:t>
      </w:r>
      <w:r w:rsidR="00D21333" w:rsidRPr="00096CB6">
        <w:rPr>
          <w:sz w:val="24"/>
          <w:szCs w:val="24"/>
        </w:rPr>
        <w:t xml:space="preserve">academic </w:t>
      </w:r>
      <w:r w:rsidR="00362977" w:rsidRPr="00096CB6">
        <w:rPr>
          <w:sz w:val="24"/>
          <w:szCs w:val="24"/>
        </w:rPr>
        <w:t>s</w:t>
      </w:r>
      <w:r w:rsidRPr="00096CB6">
        <w:rPr>
          <w:sz w:val="24"/>
          <w:szCs w:val="24"/>
        </w:rPr>
        <w:t>kills at college entry are considerably be</w:t>
      </w:r>
      <w:r w:rsidR="0019741B">
        <w:rPr>
          <w:sz w:val="24"/>
          <w:szCs w:val="24"/>
        </w:rPr>
        <w:t>low</w:t>
      </w:r>
      <w:r w:rsidRPr="00096CB6">
        <w:rPr>
          <w:sz w:val="24"/>
          <w:szCs w:val="24"/>
        </w:rPr>
        <w:t xml:space="preserve"> those of </w:t>
      </w:r>
      <w:r w:rsidR="009929AE">
        <w:rPr>
          <w:sz w:val="24"/>
          <w:szCs w:val="24"/>
        </w:rPr>
        <w:t>White</w:t>
      </w:r>
      <w:r w:rsidR="00AB1CB2" w:rsidRPr="00096CB6">
        <w:rPr>
          <w:sz w:val="24"/>
          <w:szCs w:val="24"/>
        </w:rPr>
        <w:t xml:space="preserve"> </w:t>
      </w:r>
      <w:r w:rsidRPr="00096CB6">
        <w:rPr>
          <w:sz w:val="24"/>
          <w:szCs w:val="24"/>
        </w:rPr>
        <w:t>classmates who attended more affluent schools.</w:t>
      </w:r>
    </w:p>
    <w:p w14:paraId="0E3595D3" w14:textId="452AF946" w:rsidR="00F75193" w:rsidRPr="00096CB6" w:rsidRDefault="00600C0B">
      <w:pPr>
        <w:rPr>
          <w:sz w:val="24"/>
          <w:szCs w:val="24"/>
        </w:rPr>
      </w:pPr>
      <w:r w:rsidRPr="00096CB6">
        <w:rPr>
          <w:sz w:val="24"/>
          <w:szCs w:val="24"/>
        </w:rPr>
        <w:t xml:space="preserve"> In addition, </w:t>
      </w:r>
      <w:r w:rsidR="00E56F10">
        <w:rPr>
          <w:sz w:val="24"/>
          <w:szCs w:val="24"/>
        </w:rPr>
        <w:t xml:space="preserve">staff </w:t>
      </w:r>
      <w:r w:rsidR="00527980">
        <w:rPr>
          <w:sz w:val="24"/>
          <w:szCs w:val="24"/>
        </w:rPr>
        <w:t>and administr</w:t>
      </w:r>
      <w:r w:rsidR="00E56F10">
        <w:rPr>
          <w:sz w:val="24"/>
          <w:szCs w:val="24"/>
        </w:rPr>
        <w:t>at</w:t>
      </w:r>
      <w:r w:rsidR="00527980">
        <w:rPr>
          <w:sz w:val="24"/>
          <w:szCs w:val="24"/>
        </w:rPr>
        <w:t>ors at</w:t>
      </w:r>
      <w:r w:rsidR="00E56F10">
        <w:rPr>
          <w:sz w:val="24"/>
          <w:szCs w:val="24"/>
        </w:rPr>
        <w:t xml:space="preserve"> </w:t>
      </w:r>
      <w:r w:rsidRPr="00096CB6">
        <w:rPr>
          <w:sz w:val="24"/>
          <w:szCs w:val="24"/>
        </w:rPr>
        <w:t>more elite four-year colleges</w:t>
      </w:r>
      <w:r w:rsidR="00ED3317" w:rsidRPr="00096CB6">
        <w:rPr>
          <w:sz w:val="24"/>
          <w:szCs w:val="24"/>
        </w:rPr>
        <w:t xml:space="preserve"> </w:t>
      </w:r>
      <w:r w:rsidRPr="00096CB6">
        <w:rPr>
          <w:sz w:val="24"/>
          <w:szCs w:val="24"/>
        </w:rPr>
        <w:t xml:space="preserve">are often </w:t>
      </w:r>
      <w:r w:rsidR="00AB1CB2" w:rsidRPr="00096CB6">
        <w:rPr>
          <w:sz w:val="24"/>
          <w:szCs w:val="24"/>
        </w:rPr>
        <w:t xml:space="preserve">quite </w:t>
      </w:r>
      <w:r w:rsidR="005B30DF">
        <w:rPr>
          <w:sz w:val="24"/>
          <w:szCs w:val="24"/>
        </w:rPr>
        <w:t>insensitive to</w:t>
      </w:r>
      <w:r w:rsidRPr="00096CB6">
        <w:rPr>
          <w:sz w:val="24"/>
          <w:szCs w:val="24"/>
        </w:rPr>
        <w:t xml:space="preserve"> the challenges that</w:t>
      </w:r>
      <w:r w:rsidR="00AB1CB2" w:rsidRPr="00096CB6">
        <w:rPr>
          <w:sz w:val="24"/>
          <w:szCs w:val="24"/>
        </w:rPr>
        <w:t xml:space="preserve"> </w:t>
      </w:r>
      <w:r w:rsidR="00107B79" w:rsidRPr="00096CB6">
        <w:rPr>
          <w:sz w:val="24"/>
          <w:szCs w:val="24"/>
        </w:rPr>
        <w:t xml:space="preserve">low-income </w:t>
      </w:r>
      <w:r w:rsidR="00BA4F75">
        <w:rPr>
          <w:sz w:val="24"/>
          <w:szCs w:val="24"/>
        </w:rPr>
        <w:t>Black</w:t>
      </w:r>
      <w:r w:rsidR="00AB1CB2" w:rsidRPr="00096CB6">
        <w:rPr>
          <w:sz w:val="24"/>
          <w:szCs w:val="24"/>
        </w:rPr>
        <w:t xml:space="preserve"> students face.</w:t>
      </w:r>
      <w:r w:rsidR="00ED3317" w:rsidRPr="00096CB6">
        <w:rPr>
          <w:sz w:val="24"/>
          <w:szCs w:val="24"/>
        </w:rPr>
        <w:t xml:space="preserve"> They don’t understand when scholarship students can</w:t>
      </w:r>
      <w:r w:rsidR="00107B79" w:rsidRPr="00096CB6">
        <w:rPr>
          <w:sz w:val="24"/>
          <w:szCs w:val="24"/>
        </w:rPr>
        <w:t>not</w:t>
      </w:r>
      <w:r w:rsidR="00ED3317" w:rsidRPr="00096CB6">
        <w:rPr>
          <w:sz w:val="24"/>
          <w:szCs w:val="24"/>
        </w:rPr>
        <w:t xml:space="preserve"> afford to go home during breaks between </w:t>
      </w:r>
      <w:r w:rsidR="00FB5885">
        <w:rPr>
          <w:sz w:val="24"/>
          <w:szCs w:val="24"/>
        </w:rPr>
        <w:t>semesters</w:t>
      </w:r>
      <w:r w:rsidR="00ED3317" w:rsidRPr="00096CB6">
        <w:rPr>
          <w:sz w:val="24"/>
          <w:szCs w:val="24"/>
        </w:rPr>
        <w:t>, or the financial binds th</w:t>
      </w:r>
      <w:r w:rsidR="00362977" w:rsidRPr="00096CB6">
        <w:rPr>
          <w:sz w:val="24"/>
          <w:szCs w:val="24"/>
        </w:rPr>
        <w:t xml:space="preserve">at </w:t>
      </w:r>
      <w:r w:rsidR="00A56372">
        <w:rPr>
          <w:sz w:val="24"/>
          <w:szCs w:val="24"/>
        </w:rPr>
        <w:t xml:space="preserve">some </w:t>
      </w:r>
      <w:r w:rsidR="00362977" w:rsidRPr="00096CB6">
        <w:rPr>
          <w:sz w:val="24"/>
          <w:szCs w:val="24"/>
        </w:rPr>
        <w:t>first-generation students</w:t>
      </w:r>
      <w:r w:rsidR="00ED3317" w:rsidRPr="00096CB6">
        <w:rPr>
          <w:sz w:val="24"/>
          <w:szCs w:val="24"/>
        </w:rPr>
        <w:t xml:space="preserve"> face because they are sending money home</w:t>
      </w:r>
      <w:r w:rsidR="00104482" w:rsidRPr="00096CB6">
        <w:rPr>
          <w:sz w:val="24"/>
          <w:szCs w:val="24"/>
        </w:rPr>
        <w:t>, or th</w:t>
      </w:r>
      <w:r w:rsidR="00362977" w:rsidRPr="00096CB6">
        <w:rPr>
          <w:sz w:val="24"/>
          <w:szCs w:val="24"/>
        </w:rPr>
        <w:t xml:space="preserve">e stresses </w:t>
      </w:r>
      <w:r w:rsidR="00362977" w:rsidRPr="00096CB6">
        <w:rPr>
          <w:sz w:val="24"/>
          <w:szCs w:val="24"/>
        </w:rPr>
        <w:lastRenderedPageBreak/>
        <w:t>that students face when</w:t>
      </w:r>
      <w:r w:rsidR="00104482" w:rsidRPr="00096CB6">
        <w:rPr>
          <w:sz w:val="24"/>
          <w:szCs w:val="24"/>
        </w:rPr>
        <w:t xml:space="preserve"> they need to work long hours for pay</w:t>
      </w:r>
      <w:r w:rsidR="00696842">
        <w:rPr>
          <w:sz w:val="24"/>
          <w:szCs w:val="24"/>
        </w:rPr>
        <w:t xml:space="preserve"> (Jack 2019)</w:t>
      </w:r>
      <w:r w:rsidR="00ED3317" w:rsidRPr="00096CB6">
        <w:rPr>
          <w:sz w:val="24"/>
          <w:szCs w:val="24"/>
        </w:rPr>
        <w:t xml:space="preserve">. </w:t>
      </w:r>
      <w:r w:rsidR="00362977" w:rsidRPr="00096CB6">
        <w:rPr>
          <w:sz w:val="24"/>
          <w:szCs w:val="24"/>
        </w:rPr>
        <w:t>Add to this</w:t>
      </w:r>
      <w:r w:rsidR="00596389">
        <w:rPr>
          <w:sz w:val="24"/>
          <w:szCs w:val="24"/>
        </w:rPr>
        <w:t>,</w:t>
      </w:r>
      <w:r w:rsidR="00ED3317" w:rsidRPr="00096CB6">
        <w:rPr>
          <w:sz w:val="24"/>
          <w:szCs w:val="24"/>
        </w:rPr>
        <w:t xml:space="preserve"> racist comments and stereotyping </w:t>
      </w:r>
      <w:r w:rsidR="00107B79" w:rsidRPr="00096CB6">
        <w:rPr>
          <w:sz w:val="24"/>
          <w:szCs w:val="24"/>
        </w:rPr>
        <w:t xml:space="preserve">that </w:t>
      </w:r>
      <w:r w:rsidR="00BA4F75">
        <w:rPr>
          <w:sz w:val="24"/>
          <w:szCs w:val="24"/>
        </w:rPr>
        <w:t>Black</w:t>
      </w:r>
      <w:r w:rsidR="00ED3317" w:rsidRPr="00096CB6">
        <w:rPr>
          <w:sz w:val="24"/>
          <w:szCs w:val="24"/>
        </w:rPr>
        <w:t xml:space="preserve"> students </w:t>
      </w:r>
      <w:r w:rsidR="00D21333" w:rsidRPr="00096CB6">
        <w:rPr>
          <w:sz w:val="24"/>
          <w:szCs w:val="24"/>
        </w:rPr>
        <w:t xml:space="preserve">sometimes </w:t>
      </w:r>
      <w:r w:rsidR="00ED3317" w:rsidRPr="00096CB6">
        <w:rPr>
          <w:sz w:val="24"/>
          <w:szCs w:val="24"/>
        </w:rPr>
        <w:t xml:space="preserve">face from </w:t>
      </w:r>
      <w:r w:rsidR="009929AE">
        <w:rPr>
          <w:sz w:val="24"/>
          <w:szCs w:val="24"/>
        </w:rPr>
        <w:t>White</w:t>
      </w:r>
      <w:r w:rsidR="00ED3317" w:rsidRPr="00096CB6">
        <w:rPr>
          <w:sz w:val="24"/>
          <w:szCs w:val="24"/>
        </w:rPr>
        <w:t xml:space="preserve"> classmates. </w:t>
      </w:r>
      <w:r w:rsidR="00107B79" w:rsidRPr="00096CB6">
        <w:rPr>
          <w:sz w:val="24"/>
          <w:szCs w:val="24"/>
        </w:rPr>
        <w:t>Taken</w:t>
      </w:r>
      <w:r w:rsidR="00ED3317" w:rsidRPr="00096CB6">
        <w:rPr>
          <w:sz w:val="24"/>
          <w:szCs w:val="24"/>
        </w:rPr>
        <w:t xml:space="preserve"> together this might suggest that most </w:t>
      </w:r>
      <w:r w:rsidR="00BA4F75">
        <w:rPr>
          <w:sz w:val="24"/>
          <w:szCs w:val="24"/>
        </w:rPr>
        <w:t>Black</w:t>
      </w:r>
      <w:r w:rsidR="00ED3317" w:rsidRPr="00096CB6">
        <w:rPr>
          <w:sz w:val="24"/>
          <w:szCs w:val="24"/>
        </w:rPr>
        <w:t xml:space="preserve"> students would do much better at</w:t>
      </w:r>
      <w:r w:rsidR="00104482" w:rsidRPr="00096CB6">
        <w:rPr>
          <w:sz w:val="24"/>
          <w:szCs w:val="24"/>
        </w:rPr>
        <w:t>tending</w:t>
      </w:r>
      <w:r w:rsidR="00ED3317" w:rsidRPr="00096CB6">
        <w:rPr>
          <w:sz w:val="24"/>
          <w:szCs w:val="24"/>
        </w:rPr>
        <w:t xml:space="preserve"> predominantly </w:t>
      </w:r>
      <w:r w:rsidR="00BA4F75">
        <w:rPr>
          <w:sz w:val="24"/>
          <w:szCs w:val="24"/>
        </w:rPr>
        <w:t>Black</w:t>
      </w:r>
      <w:r w:rsidR="00ED3317" w:rsidRPr="00096CB6">
        <w:rPr>
          <w:sz w:val="24"/>
          <w:szCs w:val="24"/>
        </w:rPr>
        <w:t xml:space="preserve"> colleges.</w:t>
      </w:r>
    </w:p>
    <w:p w14:paraId="1F9F4283" w14:textId="5F86BD86" w:rsidR="00503D58" w:rsidRPr="00096CB6" w:rsidRDefault="00ED3317">
      <w:pPr>
        <w:rPr>
          <w:sz w:val="24"/>
          <w:szCs w:val="24"/>
        </w:rPr>
      </w:pPr>
      <w:r w:rsidRPr="00096CB6">
        <w:rPr>
          <w:sz w:val="24"/>
          <w:szCs w:val="24"/>
        </w:rPr>
        <w:t>But they don’t. While HBCUs offer a supportive and culturally-sensitive environment to m</w:t>
      </w:r>
      <w:r w:rsidR="00107B79" w:rsidRPr="00096CB6">
        <w:rPr>
          <w:sz w:val="24"/>
          <w:szCs w:val="24"/>
        </w:rPr>
        <w:t>ost</w:t>
      </w:r>
      <w:r w:rsidRPr="00096CB6">
        <w:rPr>
          <w:sz w:val="24"/>
          <w:szCs w:val="24"/>
        </w:rPr>
        <w:t xml:space="preserve"> of their students and </w:t>
      </w:r>
      <w:r w:rsidR="005F57D1" w:rsidRPr="00096CB6">
        <w:rPr>
          <w:sz w:val="24"/>
          <w:szCs w:val="24"/>
        </w:rPr>
        <w:t xml:space="preserve">consequently </w:t>
      </w:r>
      <w:r w:rsidRPr="00096CB6">
        <w:rPr>
          <w:sz w:val="24"/>
          <w:szCs w:val="24"/>
        </w:rPr>
        <w:t xml:space="preserve">generate great loyalty among </w:t>
      </w:r>
      <w:r w:rsidR="00104482" w:rsidRPr="00096CB6">
        <w:rPr>
          <w:sz w:val="24"/>
          <w:szCs w:val="24"/>
        </w:rPr>
        <w:t>many</w:t>
      </w:r>
      <w:r w:rsidRPr="00096CB6">
        <w:rPr>
          <w:sz w:val="24"/>
          <w:szCs w:val="24"/>
        </w:rPr>
        <w:t xml:space="preserve"> alum</w:t>
      </w:r>
      <w:r w:rsidR="00B4474A">
        <w:rPr>
          <w:sz w:val="24"/>
          <w:szCs w:val="24"/>
        </w:rPr>
        <w:t>ni</w:t>
      </w:r>
      <w:r w:rsidRPr="00096CB6">
        <w:rPr>
          <w:sz w:val="24"/>
          <w:szCs w:val="24"/>
        </w:rPr>
        <w:t xml:space="preserve">, </w:t>
      </w:r>
      <w:r w:rsidR="00104482" w:rsidRPr="00096CB6">
        <w:rPr>
          <w:sz w:val="24"/>
          <w:szCs w:val="24"/>
        </w:rPr>
        <w:t>HBCUs</w:t>
      </w:r>
      <w:r w:rsidRPr="00096CB6">
        <w:rPr>
          <w:sz w:val="24"/>
          <w:szCs w:val="24"/>
        </w:rPr>
        <w:t xml:space="preserve"> don’t escape the problem</w:t>
      </w:r>
      <w:r w:rsidR="00D21333" w:rsidRPr="00096CB6">
        <w:rPr>
          <w:sz w:val="24"/>
          <w:szCs w:val="24"/>
        </w:rPr>
        <w:t>s</w:t>
      </w:r>
      <w:r w:rsidRPr="00096CB6">
        <w:rPr>
          <w:sz w:val="24"/>
          <w:szCs w:val="24"/>
        </w:rPr>
        <w:t xml:space="preserve"> of high </w:t>
      </w:r>
      <w:r w:rsidR="001D145B">
        <w:rPr>
          <w:sz w:val="24"/>
          <w:szCs w:val="24"/>
        </w:rPr>
        <w:t>student</w:t>
      </w:r>
      <w:r w:rsidR="005F57D1" w:rsidRPr="00096CB6">
        <w:rPr>
          <w:sz w:val="24"/>
          <w:szCs w:val="24"/>
        </w:rPr>
        <w:t xml:space="preserve"> </w:t>
      </w:r>
      <w:r w:rsidRPr="00096CB6">
        <w:rPr>
          <w:sz w:val="24"/>
          <w:szCs w:val="24"/>
        </w:rPr>
        <w:t xml:space="preserve">dropout rates </w:t>
      </w:r>
      <w:r w:rsidR="00104482" w:rsidRPr="00096CB6">
        <w:rPr>
          <w:sz w:val="24"/>
          <w:szCs w:val="24"/>
        </w:rPr>
        <w:t>or</w:t>
      </w:r>
      <w:r w:rsidRPr="00096CB6">
        <w:rPr>
          <w:sz w:val="24"/>
          <w:szCs w:val="24"/>
        </w:rPr>
        <w:t xml:space="preserve"> low graduat</w:t>
      </w:r>
      <w:r w:rsidR="00C23301" w:rsidRPr="00096CB6">
        <w:rPr>
          <w:sz w:val="24"/>
          <w:szCs w:val="24"/>
        </w:rPr>
        <w:t>ion</w:t>
      </w:r>
      <w:r w:rsidRPr="00096CB6">
        <w:rPr>
          <w:sz w:val="24"/>
          <w:szCs w:val="24"/>
        </w:rPr>
        <w:t xml:space="preserve"> rates</w:t>
      </w:r>
      <w:r w:rsidR="001F72CE">
        <w:rPr>
          <w:sz w:val="24"/>
          <w:szCs w:val="24"/>
        </w:rPr>
        <w:t xml:space="preserve"> (</w:t>
      </w:r>
      <w:r w:rsidR="00CD257D">
        <w:rPr>
          <w:sz w:val="24"/>
          <w:szCs w:val="24"/>
        </w:rPr>
        <w:t xml:space="preserve">Nichols and Evans-Bell 2017, </w:t>
      </w:r>
      <w:r w:rsidR="001F72CE">
        <w:rPr>
          <w:sz w:val="24"/>
          <w:szCs w:val="24"/>
        </w:rPr>
        <w:t>Smith-Barrow 2019).</w:t>
      </w:r>
      <w:r w:rsidRPr="00096CB6">
        <w:rPr>
          <w:sz w:val="24"/>
          <w:szCs w:val="24"/>
        </w:rPr>
        <w:t xml:space="preserve"> Researchers disagree over whether graduation rates at HBCUs are worse or s</w:t>
      </w:r>
      <w:r w:rsidR="006C7ED8">
        <w:rPr>
          <w:sz w:val="24"/>
          <w:szCs w:val="24"/>
        </w:rPr>
        <w:t xml:space="preserve">omewhat </w:t>
      </w:r>
      <w:r w:rsidRPr="00096CB6">
        <w:rPr>
          <w:sz w:val="24"/>
          <w:szCs w:val="24"/>
        </w:rPr>
        <w:t xml:space="preserve">better than at public colleges – the picture </w:t>
      </w:r>
      <w:r w:rsidR="00596389">
        <w:rPr>
          <w:sz w:val="24"/>
          <w:szCs w:val="24"/>
        </w:rPr>
        <w:t xml:space="preserve">changes </w:t>
      </w:r>
      <w:r w:rsidRPr="00096CB6">
        <w:rPr>
          <w:sz w:val="24"/>
          <w:szCs w:val="24"/>
        </w:rPr>
        <w:t>depend</w:t>
      </w:r>
      <w:r w:rsidR="00596389">
        <w:rPr>
          <w:sz w:val="24"/>
          <w:szCs w:val="24"/>
        </w:rPr>
        <w:t>ing</w:t>
      </w:r>
      <w:r w:rsidRPr="00096CB6">
        <w:rPr>
          <w:sz w:val="24"/>
          <w:szCs w:val="24"/>
        </w:rPr>
        <w:t xml:space="preserve"> on how one adjusts the numbers to account for students’ socio-economic background</w:t>
      </w:r>
      <w:r w:rsidR="00104482" w:rsidRPr="00096CB6">
        <w:rPr>
          <w:sz w:val="24"/>
          <w:szCs w:val="24"/>
        </w:rPr>
        <w:t>s</w:t>
      </w:r>
      <w:r w:rsidR="00E06967">
        <w:rPr>
          <w:sz w:val="24"/>
          <w:szCs w:val="24"/>
        </w:rPr>
        <w:t xml:space="preserve"> (Allen 19</w:t>
      </w:r>
      <w:r w:rsidR="001D145B">
        <w:rPr>
          <w:sz w:val="24"/>
          <w:szCs w:val="24"/>
        </w:rPr>
        <w:t>9</w:t>
      </w:r>
      <w:r w:rsidR="00E06967">
        <w:rPr>
          <w:sz w:val="24"/>
          <w:szCs w:val="24"/>
        </w:rPr>
        <w:t xml:space="preserve">2, </w:t>
      </w:r>
      <w:r w:rsidR="006C7ED8">
        <w:rPr>
          <w:sz w:val="24"/>
          <w:szCs w:val="24"/>
        </w:rPr>
        <w:t xml:space="preserve">Franke and DeAngelo 2018, </w:t>
      </w:r>
      <w:r w:rsidR="00E06967">
        <w:rPr>
          <w:sz w:val="24"/>
          <w:szCs w:val="24"/>
        </w:rPr>
        <w:t>Kim and Conrad 2006</w:t>
      </w:r>
      <w:r w:rsidR="00CD257D">
        <w:rPr>
          <w:sz w:val="24"/>
          <w:szCs w:val="24"/>
        </w:rPr>
        <w:t>, Nichols and Evans-Bell 2017</w:t>
      </w:r>
      <w:r w:rsidR="00E06967">
        <w:rPr>
          <w:sz w:val="24"/>
          <w:szCs w:val="24"/>
        </w:rPr>
        <w:t>).</w:t>
      </w:r>
      <w:r w:rsidRPr="00096CB6">
        <w:rPr>
          <w:sz w:val="24"/>
          <w:szCs w:val="24"/>
        </w:rPr>
        <w:t xml:space="preserve"> But </w:t>
      </w:r>
      <w:r w:rsidR="005F57D1" w:rsidRPr="00096CB6">
        <w:rPr>
          <w:sz w:val="24"/>
          <w:szCs w:val="24"/>
        </w:rPr>
        <w:t xml:space="preserve">no one </w:t>
      </w:r>
      <w:r w:rsidR="00104482" w:rsidRPr="00096CB6">
        <w:rPr>
          <w:sz w:val="24"/>
          <w:szCs w:val="24"/>
        </w:rPr>
        <w:t>claims</w:t>
      </w:r>
      <w:r w:rsidR="005F57D1" w:rsidRPr="00096CB6">
        <w:rPr>
          <w:sz w:val="24"/>
          <w:szCs w:val="24"/>
        </w:rPr>
        <w:t xml:space="preserve"> that the </w:t>
      </w:r>
      <w:r w:rsidR="00477D5A">
        <w:rPr>
          <w:sz w:val="24"/>
          <w:szCs w:val="24"/>
        </w:rPr>
        <w:t xml:space="preserve">degree </w:t>
      </w:r>
      <w:r w:rsidR="005F57D1" w:rsidRPr="00096CB6">
        <w:rPr>
          <w:sz w:val="24"/>
          <w:szCs w:val="24"/>
        </w:rPr>
        <w:t xml:space="preserve">completion problem </w:t>
      </w:r>
      <w:r w:rsidR="006C7ED8">
        <w:rPr>
          <w:sz w:val="24"/>
          <w:szCs w:val="24"/>
        </w:rPr>
        <w:t>has been solved at</w:t>
      </w:r>
      <w:r w:rsidR="005F57D1" w:rsidRPr="00096CB6">
        <w:rPr>
          <w:sz w:val="24"/>
          <w:szCs w:val="24"/>
        </w:rPr>
        <w:t xml:space="preserve"> HBCUs</w:t>
      </w:r>
      <w:r w:rsidR="00CD257D">
        <w:rPr>
          <w:sz w:val="24"/>
          <w:szCs w:val="24"/>
        </w:rPr>
        <w:t>: Nichols and Evans-Bell (2017) report a 32.1% graduation rate within six years at HBCUs</w:t>
      </w:r>
      <w:r w:rsidR="003061B8">
        <w:rPr>
          <w:sz w:val="24"/>
          <w:szCs w:val="24"/>
        </w:rPr>
        <w:t>, for example</w:t>
      </w:r>
      <w:r w:rsidR="00CD257D">
        <w:rPr>
          <w:sz w:val="24"/>
          <w:szCs w:val="24"/>
        </w:rPr>
        <w:t xml:space="preserve">. </w:t>
      </w:r>
      <w:r w:rsidR="001D145B">
        <w:rPr>
          <w:sz w:val="24"/>
          <w:szCs w:val="24"/>
        </w:rPr>
        <w:t xml:space="preserve">Beyond this, </w:t>
      </w:r>
      <w:r w:rsidR="00F76390" w:rsidRPr="00096CB6">
        <w:rPr>
          <w:sz w:val="24"/>
          <w:szCs w:val="24"/>
        </w:rPr>
        <w:t>H</w:t>
      </w:r>
      <w:r w:rsidR="007F3C44">
        <w:rPr>
          <w:sz w:val="24"/>
          <w:szCs w:val="24"/>
        </w:rPr>
        <w:t>BC</w:t>
      </w:r>
      <w:r w:rsidR="00F76390" w:rsidRPr="00096CB6">
        <w:rPr>
          <w:sz w:val="24"/>
          <w:szCs w:val="24"/>
        </w:rPr>
        <w:t>Us currently</w:t>
      </w:r>
      <w:r w:rsidR="005F57D1" w:rsidRPr="00096CB6">
        <w:rPr>
          <w:sz w:val="24"/>
          <w:szCs w:val="24"/>
        </w:rPr>
        <w:t xml:space="preserve"> educate about 9% of all </w:t>
      </w:r>
      <w:r w:rsidR="003B53D9">
        <w:rPr>
          <w:sz w:val="24"/>
          <w:szCs w:val="24"/>
        </w:rPr>
        <w:t>Black</w:t>
      </w:r>
      <w:r w:rsidR="005F57D1" w:rsidRPr="00096CB6">
        <w:rPr>
          <w:sz w:val="24"/>
          <w:szCs w:val="24"/>
        </w:rPr>
        <w:t xml:space="preserve"> undergraduates</w:t>
      </w:r>
      <w:r w:rsidR="00F056BF">
        <w:rPr>
          <w:rStyle w:val="FootnoteReference"/>
          <w:sz w:val="24"/>
          <w:szCs w:val="24"/>
        </w:rPr>
        <w:footnoteReference w:id="5"/>
      </w:r>
      <w:r w:rsidR="001D145B">
        <w:rPr>
          <w:sz w:val="24"/>
          <w:szCs w:val="24"/>
        </w:rPr>
        <w:t>, so while they are very important</w:t>
      </w:r>
      <w:r w:rsidR="005877F5">
        <w:rPr>
          <w:sz w:val="24"/>
          <w:szCs w:val="24"/>
        </w:rPr>
        <w:t xml:space="preserve"> producers of graduates who will join the </w:t>
      </w:r>
      <w:r w:rsidR="009B247B">
        <w:rPr>
          <w:sz w:val="24"/>
          <w:szCs w:val="24"/>
        </w:rPr>
        <w:t xml:space="preserve">Black </w:t>
      </w:r>
      <w:r w:rsidR="005877F5">
        <w:rPr>
          <w:sz w:val="24"/>
          <w:szCs w:val="24"/>
        </w:rPr>
        <w:t>professional and middle classes</w:t>
      </w:r>
      <w:r w:rsidR="000D29AC">
        <w:rPr>
          <w:sz w:val="24"/>
          <w:szCs w:val="24"/>
        </w:rPr>
        <w:t xml:space="preserve"> (Natheson et al 2019) </w:t>
      </w:r>
      <w:r w:rsidR="005877F5">
        <w:rPr>
          <w:sz w:val="24"/>
          <w:szCs w:val="24"/>
        </w:rPr>
        <w:t xml:space="preserve">they educate a relatively small proportion of </w:t>
      </w:r>
      <w:r w:rsidR="005B30DF">
        <w:rPr>
          <w:sz w:val="24"/>
          <w:szCs w:val="24"/>
        </w:rPr>
        <w:t xml:space="preserve">the </w:t>
      </w:r>
      <w:r w:rsidR="007B7961">
        <w:rPr>
          <w:sz w:val="24"/>
          <w:szCs w:val="24"/>
        </w:rPr>
        <w:t xml:space="preserve">total </w:t>
      </w:r>
      <w:r w:rsidR="003B53D9">
        <w:rPr>
          <w:sz w:val="24"/>
          <w:szCs w:val="24"/>
        </w:rPr>
        <w:t>Black</w:t>
      </w:r>
      <w:r w:rsidR="005B30DF">
        <w:rPr>
          <w:sz w:val="24"/>
          <w:szCs w:val="24"/>
        </w:rPr>
        <w:t xml:space="preserve"> undergraduate population</w:t>
      </w:r>
      <w:r w:rsidR="009B247B">
        <w:rPr>
          <w:sz w:val="24"/>
          <w:szCs w:val="24"/>
        </w:rPr>
        <w:t>.</w:t>
      </w:r>
      <w:r w:rsidR="005877F5">
        <w:rPr>
          <w:sz w:val="24"/>
          <w:szCs w:val="24"/>
        </w:rPr>
        <w:t xml:space="preserve"> </w:t>
      </w:r>
      <w:r w:rsidR="00477D5A">
        <w:rPr>
          <w:sz w:val="24"/>
          <w:szCs w:val="24"/>
        </w:rPr>
        <w:t xml:space="preserve"> </w:t>
      </w:r>
      <w:r w:rsidR="001F72CE">
        <w:rPr>
          <w:sz w:val="24"/>
          <w:szCs w:val="24"/>
        </w:rPr>
        <w:t xml:space="preserve">In addition to financial stresses (Smith-Barrow 2019) </w:t>
      </w:r>
      <w:r w:rsidR="00F97F05">
        <w:rPr>
          <w:sz w:val="24"/>
          <w:szCs w:val="24"/>
        </w:rPr>
        <w:t>HBCUs</w:t>
      </w:r>
      <w:r w:rsidR="00477D5A">
        <w:rPr>
          <w:sz w:val="24"/>
          <w:szCs w:val="24"/>
        </w:rPr>
        <w:t xml:space="preserve"> are also facing declining enrollments, as we will document below.</w:t>
      </w:r>
    </w:p>
    <w:p w14:paraId="63CBDEA3" w14:textId="69B6ED6C" w:rsidR="00D21333" w:rsidRPr="00096CB6" w:rsidRDefault="00D21333">
      <w:pPr>
        <w:rPr>
          <w:sz w:val="24"/>
          <w:szCs w:val="24"/>
        </w:rPr>
      </w:pPr>
      <w:r w:rsidRPr="00096CB6">
        <w:rPr>
          <w:sz w:val="24"/>
          <w:szCs w:val="24"/>
        </w:rPr>
        <w:t xml:space="preserve">With this </w:t>
      </w:r>
      <w:r w:rsidR="00C815FD">
        <w:rPr>
          <w:sz w:val="24"/>
          <w:szCs w:val="24"/>
        </w:rPr>
        <w:t xml:space="preserve">overview </w:t>
      </w:r>
      <w:r w:rsidR="0073753A">
        <w:rPr>
          <w:sz w:val="24"/>
          <w:szCs w:val="24"/>
        </w:rPr>
        <w:t xml:space="preserve">as </w:t>
      </w:r>
      <w:r w:rsidRPr="00096CB6">
        <w:rPr>
          <w:sz w:val="24"/>
          <w:szCs w:val="24"/>
        </w:rPr>
        <w:t xml:space="preserve">context, we </w:t>
      </w:r>
      <w:r w:rsidR="0073753A">
        <w:rPr>
          <w:sz w:val="24"/>
          <w:szCs w:val="24"/>
        </w:rPr>
        <w:t xml:space="preserve">will </w:t>
      </w:r>
      <w:r w:rsidRPr="00096CB6">
        <w:rPr>
          <w:sz w:val="24"/>
          <w:szCs w:val="24"/>
        </w:rPr>
        <w:t>now</w:t>
      </w:r>
      <w:r w:rsidR="0051266A">
        <w:rPr>
          <w:sz w:val="24"/>
          <w:szCs w:val="24"/>
        </w:rPr>
        <w:t xml:space="preserve"> focus</w:t>
      </w:r>
      <w:r w:rsidRPr="00096CB6">
        <w:rPr>
          <w:sz w:val="24"/>
          <w:szCs w:val="24"/>
        </w:rPr>
        <w:t xml:space="preserve"> our inquiry </w:t>
      </w:r>
      <w:r w:rsidR="0051266A">
        <w:rPr>
          <w:sz w:val="24"/>
          <w:szCs w:val="24"/>
        </w:rPr>
        <w:t>on</w:t>
      </w:r>
      <w:r w:rsidRPr="00096CB6">
        <w:rPr>
          <w:sz w:val="24"/>
          <w:szCs w:val="24"/>
        </w:rPr>
        <w:t xml:space="preserve"> </w:t>
      </w:r>
      <w:r w:rsidR="00707C10">
        <w:rPr>
          <w:sz w:val="24"/>
          <w:szCs w:val="24"/>
        </w:rPr>
        <w:t xml:space="preserve">the </w:t>
      </w:r>
      <w:r w:rsidRPr="00096CB6">
        <w:rPr>
          <w:sz w:val="24"/>
          <w:szCs w:val="24"/>
        </w:rPr>
        <w:t xml:space="preserve">changes in </w:t>
      </w:r>
      <w:r w:rsidR="00BA4F75">
        <w:rPr>
          <w:sz w:val="24"/>
          <w:szCs w:val="24"/>
        </w:rPr>
        <w:t>Black</w:t>
      </w:r>
      <w:r w:rsidR="00707C10">
        <w:rPr>
          <w:sz w:val="24"/>
          <w:szCs w:val="24"/>
        </w:rPr>
        <w:t xml:space="preserve"> college</w:t>
      </w:r>
      <w:r w:rsidRPr="00096CB6">
        <w:rPr>
          <w:sz w:val="24"/>
          <w:szCs w:val="24"/>
        </w:rPr>
        <w:t xml:space="preserve"> enrollment since </w:t>
      </w:r>
      <w:r w:rsidR="00453F3B">
        <w:rPr>
          <w:sz w:val="24"/>
          <w:szCs w:val="24"/>
        </w:rPr>
        <w:t xml:space="preserve">its peak in </w:t>
      </w:r>
      <w:r w:rsidRPr="00096CB6">
        <w:rPr>
          <w:sz w:val="24"/>
          <w:szCs w:val="24"/>
        </w:rPr>
        <w:t>2010.</w:t>
      </w:r>
    </w:p>
    <w:p w14:paraId="696B321C" w14:textId="40E01F07" w:rsidR="00E87A3A" w:rsidRDefault="00E87A3A" w:rsidP="00E87A3A">
      <w:pPr>
        <w:rPr>
          <w:i/>
          <w:iCs/>
          <w:sz w:val="24"/>
          <w:szCs w:val="24"/>
        </w:rPr>
      </w:pPr>
      <w:r w:rsidRPr="00E87A3A">
        <w:rPr>
          <w:i/>
          <w:iCs/>
          <w:sz w:val="24"/>
          <w:szCs w:val="24"/>
        </w:rPr>
        <w:t>Changing Birth Rates.</w:t>
      </w:r>
    </w:p>
    <w:p w14:paraId="711326AF" w14:textId="34C43709" w:rsidR="00707C10" w:rsidRDefault="00320BBF" w:rsidP="00E87A3A">
      <w:pPr>
        <w:rPr>
          <w:sz w:val="24"/>
          <w:szCs w:val="24"/>
        </w:rPr>
      </w:pPr>
      <w:r>
        <w:rPr>
          <w:sz w:val="24"/>
          <w:szCs w:val="24"/>
        </w:rPr>
        <w:t xml:space="preserve">Birth rates in the US have been declining in recent years, both among African American </w:t>
      </w:r>
      <w:r w:rsidR="006F7FCE">
        <w:rPr>
          <w:sz w:val="24"/>
          <w:szCs w:val="24"/>
        </w:rPr>
        <w:t xml:space="preserve">women </w:t>
      </w:r>
      <w:r>
        <w:rPr>
          <w:sz w:val="24"/>
          <w:szCs w:val="24"/>
        </w:rPr>
        <w:t xml:space="preserve">and among </w:t>
      </w:r>
      <w:r w:rsidR="0051266A">
        <w:rPr>
          <w:sz w:val="24"/>
          <w:szCs w:val="24"/>
        </w:rPr>
        <w:t xml:space="preserve">non-Hispanic </w:t>
      </w:r>
      <w:r w:rsidR="009929AE">
        <w:rPr>
          <w:sz w:val="24"/>
          <w:szCs w:val="24"/>
        </w:rPr>
        <w:t>White</w:t>
      </w:r>
      <w:r>
        <w:rPr>
          <w:sz w:val="24"/>
          <w:szCs w:val="24"/>
        </w:rPr>
        <w:t xml:space="preserve"> women, </w:t>
      </w:r>
      <w:r w:rsidR="0051266A">
        <w:rPr>
          <w:sz w:val="24"/>
          <w:szCs w:val="24"/>
        </w:rPr>
        <w:t>drops</w:t>
      </w:r>
      <w:r>
        <w:rPr>
          <w:sz w:val="24"/>
          <w:szCs w:val="24"/>
        </w:rPr>
        <w:t xml:space="preserve"> that are reflected years later in </w:t>
      </w:r>
      <w:r w:rsidR="00DE71A1">
        <w:rPr>
          <w:sz w:val="24"/>
          <w:szCs w:val="24"/>
        </w:rPr>
        <w:t xml:space="preserve">fewer </w:t>
      </w:r>
      <w:r>
        <w:rPr>
          <w:sz w:val="24"/>
          <w:szCs w:val="24"/>
        </w:rPr>
        <w:t xml:space="preserve">numbers of college-age individuals. </w:t>
      </w:r>
      <w:r w:rsidR="000C12E6">
        <w:rPr>
          <w:sz w:val="24"/>
          <w:szCs w:val="24"/>
        </w:rPr>
        <w:t xml:space="preserve">Figure Two illustrates the decline in </w:t>
      </w:r>
      <w:r w:rsidR="00797EE5">
        <w:rPr>
          <w:sz w:val="24"/>
          <w:szCs w:val="24"/>
        </w:rPr>
        <w:t xml:space="preserve">the number of </w:t>
      </w:r>
      <w:r w:rsidR="000C12E6">
        <w:rPr>
          <w:sz w:val="24"/>
          <w:szCs w:val="24"/>
        </w:rPr>
        <w:t>Black 19-year-olds, from a high in 2010 to the present. The</w:t>
      </w:r>
      <w:r w:rsidR="00DE71A1">
        <w:rPr>
          <w:sz w:val="24"/>
          <w:szCs w:val="24"/>
        </w:rPr>
        <w:t>se</w:t>
      </w:r>
      <w:r w:rsidR="000C12E6">
        <w:rPr>
          <w:sz w:val="24"/>
          <w:szCs w:val="24"/>
        </w:rPr>
        <w:t xml:space="preserve"> data</w:t>
      </w:r>
      <w:r w:rsidR="00DD643F">
        <w:rPr>
          <w:sz w:val="24"/>
          <w:szCs w:val="24"/>
        </w:rPr>
        <w:t xml:space="preserve">, </w:t>
      </w:r>
      <w:r w:rsidR="000C12E6">
        <w:rPr>
          <w:sz w:val="24"/>
          <w:szCs w:val="24"/>
        </w:rPr>
        <w:t xml:space="preserve">from the US Census’ </w:t>
      </w:r>
      <w:r w:rsidR="008B7F79">
        <w:rPr>
          <w:sz w:val="24"/>
          <w:szCs w:val="24"/>
        </w:rPr>
        <w:t>estimates, include</w:t>
      </w:r>
      <w:r w:rsidR="00DD643F">
        <w:rPr>
          <w:sz w:val="24"/>
          <w:szCs w:val="24"/>
        </w:rPr>
        <w:t xml:space="preserve"> 19</w:t>
      </w:r>
      <w:r w:rsidR="001E6DD0">
        <w:rPr>
          <w:sz w:val="24"/>
          <w:szCs w:val="24"/>
        </w:rPr>
        <w:t>-</w:t>
      </w:r>
      <w:r w:rsidR="00DD643F">
        <w:rPr>
          <w:sz w:val="24"/>
          <w:szCs w:val="24"/>
        </w:rPr>
        <w:t>year</w:t>
      </w:r>
      <w:r w:rsidR="001E6DD0">
        <w:rPr>
          <w:sz w:val="24"/>
          <w:szCs w:val="24"/>
        </w:rPr>
        <w:t>-</w:t>
      </w:r>
      <w:r w:rsidR="00DD643F">
        <w:rPr>
          <w:sz w:val="24"/>
          <w:szCs w:val="24"/>
        </w:rPr>
        <w:t>old Black immigrants as well as US</w:t>
      </w:r>
      <w:r w:rsidR="001E6DD0">
        <w:rPr>
          <w:sz w:val="24"/>
          <w:szCs w:val="24"/>
        </w:rPr>
        <w:t>-</w:t>
      </w:r>
      <w:r w:rsidR="00A955B6">
        <w:rPr>
          <w:sz w:val="24"/>
          <w:szCs w:val="24"/>
        </w:rPr>
        <w:t>b</w:t>
      </w:r>
      <w:r w:rsidR="00DD643F">
        <w:rPr>
          <w:sz w:val="24"/>
          <w:szCs w:val="24"/>
        </w:rPr>
        <w:t>orn Black 19</w:t>
      </w:r>
      <w:r w:rsidR="008B7F79">
        <w:rPr>
          <w:sz w:val="24"/>
          <w:szCs w:val="24"/>
        </w:rPr>
        <w:t>-</w:t>
      </w:r>
      <w:r w:rsidR="00DD643F">
        <w:rPr>
          <w:sz w:val="24"/>
          <w:szCs w:val="24"/>
        </w:rPr>
        <w:t>year</w:t>
      </w:r>
      <w:r w:rsidR="001E6DD0">
        <w:rPr>
          <w:sz w:val="24"/>
          <w:szCs w:val="24"/>
        </w:rPr>
        <w:t>-</w:t>
      </w:r>
      <w:r w:rsidR="00DD643F">
        <w:rPr>
          <w:sz w:val="24"/>
          <w:szCs w:val="24"/>
        </w:rPr>
        <w:t>olds</w:t>
      </w:r>
      <w:r w:rsidR="000C12E6">
        <w:rPr>
          <w:sz w:val="24"/>
          <w:szCs w:val="24"/>
        </w:rPr>
        <w:t>.</w:t>
      </w:r>
      <w:r w:rsidR="00707C10">
        <w:rPr>
          <w:sz w:val="24"/>
          <w:szCs w:val="24"/>
        </w:rPr>
        <w:t xml:space="preserve"> </w:t>
      </w:r>
    </w:p>
    <w:p w14:paraId="13AE2A23" w14:textId="25E38E5C" w:rsidR="002B3B14" w:rsidRDefault="002B3B14" w:rsidP="00E87A3A">
      <w:pPr>
        <w:rPr>
          <w:sz w:val="24"/>
          <w:szCs w:val="24"/>
        </w:rPr>
      </w:pPr>
      <w:r>
        <w:rPr>
          <w:sz w:val="24"/>
          <w:szCs w:val="24"/>
        </w:rPr>
        <w:t xml:space="preserve">There were about 79,000 fewer Black nineteen-year-olds in 2015 than </w:t>
      </w:r>
      <w:r w:rsidR="00A32B09">
        <w:rPr>
          <w:sz w:val="24"/>
          <w:szCs w:val="24"/>
        </w:rPr>
        <w:t xml:space="preserve">there were </w:t>
      </w:r>
      <w:r>
        <w:rPr>
          <w:sz w:val="24"/>
          <w:szCs w:val="24"/>
        </w:rPr>
        <w:t>in 2010, the high point. Since 2015 th</w:t>
      </w:r>
      <w:r w:rsidR="008B7F79">
        <w:rPr>
          <w:sz w:val="24"/>
          <w:szCs w:val="24"/>
        </w:rPr>
        <w:t>os</w:t>
      </w:r>
      <w:r>
        <w:rPr>
          <w:sz w:val="24"/>
          <w:szCs w:val="24"/>
        </w:rPr>
        <w:t>e numbers have increased slightly</w:t>
      </w:r>
      <w:r w:rsidR="00CA20A4">
        <w:rPr>
          <w:sz w:val="24"/>
          <w:szCs w:val="24"/>
        </w:rPr>
        <w:t>, so</w:t>
      </w:r>
      <w:r>
        <w:rPr>
          <w:sz w:val="24"/>
          <w:szCs w:val="24"/>
        </w:rPr>
        <w:t xml:space="preserve"> the shortfall is now about 72,000. Since we know how many babies were born last year, we can also look </w:t>
      </w:r>
      <w:r w:rsidR="00367B8F">
        <w:rPr>
          <w:sz w:val="24"/>
          <w:szCs w:val="24"/>
        </w:rPr>
        <w:t>forward</w:t>
      </w:r>
      <w:r>
        <w:rPr>
          <w:sz w:val="24"/>
          <w:szCs w:val="24"/>
        </w:rPr>
        <w:t xml:space="preserve"> and anticipate how many Black nineteen-year-olds there will be in the near future. Th</w:t>
      </w:r>
      <w:r w:rsidR="008B7F79">
        <w:rPr>
          <w:sz w:val="24"/>
          <w:szCs w:val="24"/>
        </w:rPr>
        <w:t>ey</w:t>
      </w:r>
      <w:r>
        <w:rPr>
          <w:sz w:val="24"/>
          <w:szCs w:val="24"/>
        </w:rPr>
        <w:t xml:space="preserve"> suggest a roughly stable number of Black youths</w:t>
      </w:r>
      <w:r w:rsidR="00A32B09">
        <w:rPr>
          <w:sz w:val="24"/>
          <w:szCs w:val="24"/>
        </w:rPr>
        <w:t>,</w:t>
      </w:r>
      <w:r>
        <w:rPr>
          <w:sz w:val="24"/>
          <w:szCs w:val="24"/>
        </w:rPr>
        <w:t xml:space="preserve"> around the current</w:t>
      </w:r>
      <w:r w:rsidR="00797EE5">
        <w:rPr>
          <w:sz w:val="24"/>
          <w:szCs w:val="24"/>
        </w:rPr>
        <w:t xml:space="preserve"> lower</w:t>
      </w:r>
      <w:r>
        <w:rPr>
          <w:sz w:val="24"/>
          <w:szCs w:val="24"/>
        </w:rPr>
        <w:t xml:space="preserve"> level.</w:t>
      </w:r>
      <w:r w:rsidR="008B7F79">
        <w:rPr>
          <w:sz w:val="24"/>
          <w:szCs w:val="24"/>
        </w:rPr>
        <w:t xml:space="preserve"> going forward.</w:t>
      </w:r>
      <w:r>
        <w:rPr>
          <w:sz w:val="24"/>
          <w:szCs w:val="24"/>
        </w:rPr>
        <w:t xml:space="preserve"> </w:t>
      </w:r>
      <w:r w:rsidR="00CE7287">
        <w:rPr>
          <w:sz w:val="24"/>
          <w:szCs w:val="24"/>
        </w:rPr>
        <w:t xml:space="preserve"> However, one source of uncertainty about future numbers stems from Black immigration into the United States. Black immigration </w:t>
      </w:r>
      <w:r w:rsidR="008B7F79">
        <w:rPr>
          <w:sz w:val="24"/>
          <w:szCs w:val="24"/>
        </w:rPr>
        <w:t xml:space="preserve">of families with children has been and will continue to contribute </w:t>
      </w:r>
      <w:r w:rsidR="006D65EE">
        <w:rPr>
          <w:sz w:val="24"/>
          <w:szCs w:val="24"/>
        </w:rPr>
        <w:t xml:space="preserve">substantially </w:t>
      </w:r>
      <w:r w:rsidR="008B7F79">
        <w:rPr>
          <w:sz w:val="24"/>
          <w:szCs w:val="24"/>
        </w:rPr>
        <w:t>to the number of Black college-goers in the years ahead (Hamilton 2019</w:t>
      </w:r>
      <w:r w:rsidR="006D65EE">
        <w:rPr>
          <w:sz w:val="24"/>
          <w:szCs w:val="24"/>
        </w:rPr>
        <w:t>, Robinson 2010</w:t>
      </w:r>
      <w:r w:rsidR="008B7F79">
        <w:rPr>
          <w:sz w:val="24"/>
          <w:szCs w:val="24"/>
        </w:rPr>
        <w:t>).</w:t>
      </w:r>
    </w:p>
    <w:p w14:paraId="6A623A89" w14:textId="4330B1BD" w:rsidR="002903F2" w:rsidRDefault="002903F2" w:rsidP="00E87A3A">
      <w:pPr>
        <w:rPr>
          <w:sz w:val="24"/>
          <w:szCs w:val="24"/>
        </w:rPr>
      </w:pPr>
      <w:r>
        <w:rPr>
          <w:sz w:val="24"/>
          <w:szCs w:val="24"/>
        </w:rPr>
        <w:lastRenderedPageBreak/>
        <w:t>Although th</w:t>
      </w:r>
      <w:r w:rsidR="008B7F79">
        <w:rPr>
          <w:sz w:val="24"/>
          <w:szCs w:val="24"/>
        </w:rPr>
        <w:t>e demographic</w:t>
      </w:r>
      <w:r>
        <w:rPr>
          <w:sz w:val="24"/>
          <w:szCs w:val="24"/>
        </w:rPr>
        <w:t xml:space="preserve"> figures do show a decline in the size of the college-age cohort since 2010, the decrease is not large enough to account for the recent drop-off in Black college enrollments, which is nearly three times larger. We therefore need to look more deeply at the numbers of high school graduates, and determine whether they are heading to college or into the labor force, and whether college entrants are persisting or dropping out. </w:t>
      </w:r>
    </w:p>
    <w:p w14:paraId="370E9256" w14:textId="7D2B7C15" w:rsidR="00D56869" w:rsidRPr="00DE71A1" w:rsidRDefault="00DE71A1" w:rsidP="00DE71A1">
      <w:pPr>
        <w:jc w:val="center"/>
        <w:rPr>
          <w:sz w:val="32"/>
          <w:szCs w:val="32"/>
        </w:rPr>
      </w:pPr>
      <w:r w:rsidRPr="00DE71A1">
        <w:rPr>
          <w:sz w:val="32"/>
          <w:szCs w:val="32"/>
        </w:rPr>
        <w:t>Figure Two</w:t>
      </w:r>
      <w:r>
        <w:rPr>
          <w:sz w:val="32"/>
          <w:szCs w:val="32"/>
        </w:rPr>
        <w:t>.</w:t>
      </w:r>
    </w:p>
    <w:p w14:paraId="2F8CE3FC" w14:textId="45A0C643" w:rsidR="00D56869" w:rsidRPr="00707C10" w:rsidRDefault="00D56869" w:rsidP="00E87A3A">
      <w:pPr>
        <w:rPr>
          <w:sz w:val="24"/>
          <w:szCs w:val="24"/>
        </w:rPr>
      </w:pPr>
      <w:r>
        <w:rPr>
          <w:noProof/>
        </w:rPr>
        <w:drawing>
          <wp:inline distT="0" distB="0" distL="0" distR="0" wp14:anchorId="43E2C777" wp14:editId="14368F44">
            <wp:extent cx="3529960" cy="24336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62751" cy="2525187"/>
                    </a:xfrm>
                    <a:prstGeom prst="rect">
                      <a:avLst/>
                    </a:prstGeom>
                  </pic:spPr>
                </pic:pic>
              </a:graphicData>
            </a:graphic>
          </wp:inline>
        </w:drawing>
      </w:r>
    </w:p>
    <w:p w14:paraId="071F0FF0" w14:textId="77777777" w:rsidR="002903F2" w:rsidRDefault="002903F2" w:rsidP="00E87A3A">
      <w:pPr>
        <w:rPr>
          <w:i/>
          <w:iCs/>
          <w:sz w:val="24"/>
          <w:szCs w:val="24"/>
        </w:rPr>
      </w:pPr>
    </w:p>
    <w:p w14:paraId="58DA5B32" w14:textId="77777777" w:rsidR="00C91F71" w:rsidRPr="00C91F71" w:rsidRDefault="00C91F71" w:rsidP="00E87A3A">
      <w:pPr>
        <w:rPr>
          <w:i/>
          <w:iCs/>
          <w:sz w:val="24"/>
          <w:szCs w:val="24"/>
        </w:rPr>
      </w:pPr>
      <w:r w:rsidRPr="00C91F71">
        <w:rPr>
          <w:i/>
          <w:iCs/>
          <w:sz w:val="24"/>
          <w:szCs w:val="24"/>
        </w:rPr>
        <w:t>Changing Black Incarceration Rates.</w:t>
      </w:r>
    </w:p>
    <w:p w14:paraId="5E62AAE7" w14:textId="1E1DA2F7" w:rsidR="00955864" w:rsidRPr="00955864" w:rsidRDefault="00955864" w:rsidP="00E87A3A">
      <w:pPr>
        <w:rPr>
          <w:sz w:val="24"/>
          <w:szCs w:val="24"/>
        </w:rPr>
      </w:pPr>
      <w:r>
        <w:rPr>
          <w:sz w:val="24"/>
          <w:szCs w:val="24"/>
        </w:rPr>
        <w:t>As a side note, the decline in numbers of Black undergraduates since 2010 is certainly not due to incarceration</w:t>
      </w:r>
      <w:r w:rsidR="00C74A2F">
        <w:rPr>
          <w:sz w:val="24"/>
          <w:szCs w:val="24"/>
        </w:rPr>
        <w:t xml:space="preserve"> levels</w:t>
      </w:r>
      <w:r>
        <w:rPr>
          <w:sz w:val="24"/>
          <w:szCs w:val="24"/>
        </w:rPr>
        <w:t>. Although</w:t>
      </w:r>
      <w:r w:rsidR="00226A4A">
        <w:rPr>
          <w:sz w:val="24"/>
          <w:szCs w:val="24"/>
        </w:rPr>
        <w:t xml:space="preserve"> the</w:t>
      </w:r>
      <w:r>
        <w:rPr>
          <w:sz w:val="24"/>
          <w:szCs w:val="24"/>
        </w:rPr>
        <w:t xml:space="preserve"> incarceration rates of Black men and women are much higher than for other racial and ethnic groups, </w:t>
      </w:r>
      <w:r w:rsidR="00226A4A">
        <w:rPr>
          <w:sz w:val="24"/>
          <w:szCs w:val="24"/>
        </w:rPr>
        <w:t xml:space="preserve">the number of </w:t>
      </w:r>
      <w:r>
        <w:rPr>
          <w:sz w:val="24"/>
          <w:szCs w:val="24"/>
        </w:rPr>
        <w:t>incarcerat</w:t>
      </w:r>
      <w:r w:rsidR="00226A4A">
        <w:rPr>
          <w:sz w:val="24"/>
          <w:szCs w:val="24"/>
        </w:rPr>
        <w:t>ed persons</w:t>
      </w:r>
      <w:r>
        <w:rPr>
          <w:sz w:val="24"/>
          <w:szCs w:val="24"/>
        </w:rPr>
        <w:t xml:space="preserve"> has been decreasing</w:t>
      </w:r>
      <w:r w:rsidR="00C74A2F">
        <w:rPr>
          <w:sz w:val="24"/>
          <w:szCs w:val="24"/>
        </w:rPr>
        <w:t xml:space="preserve"> for most of the last two decades</w:t>
      </w:r>
      <w:r>
        <w:rPr>
          <w:sz w:val="24"/>
          <w:szCs w:val="24"/>
        </w:rPr>
        <w:t xml:space="preserve">. Black male incarceration levels reached </w:t>
      </w:r>
      <w:r w:rsidR="00226A4A">
        <w:rPr>
          <w:sz w:val="24"/>
          <w:szCs w:val="24"/>
        </w:rPr>
        <w:t>their</w:t>
      </w:r>
      <w:r>
        <w:rPr>
          <w:sz w:val="24"/>
          <w:szCs w:val="24"/>
        </w:rPr>
        <w:t xml:space="preserve"> peak in 2001 and have since decline</w:t>
      </w:r>
      <w:r w:rsidR="00C74A2F">
        <w:rPr>
          <w:sz w:val="24"/>
          <w:szCs w:val="24"/>
        </w:rPr>
        <w:t xml:space="preserve">d by a third. Black women incarceration numbers have dropped by 57% from their peak in 1999 </w:t>
      </w:r>
      <w:r w:rsidR="00226A4A">
        <w:rPr>
          <w:sz w:val="24"/>
          <w:szCs w:val="24"/>
        </w:rPr>
        <w:t>to the latest 2017 numbers</w:t>
      </w:r>
      <w:r w:rsidR="00C91F71">
        <w:rPr>
          <w:sz w:val="24"/>
          <w:szCs w:val="24"/>
        </w:rPr>
        <w:t xml:space="preserve"> </w:t>
      </w:r>
      <w:r w:rsidR="00C74A2F">
        <w:rPr>
          <w:sz w:val="24"/>
          <w:szCs w:val="24"/>
        </w:rPr>
        <w:t xml:space="preserve">(Bronson and Carson 2019. Lane and Humphreys 2019). Other things being equal, declining numbers of Black men and women in prison </w:t>
      </w:r>
      <w:r w:rsidR="00C91F71">
        <w:rPr>
          <w:sz w:val="24"/>
          <w:szCs w:val="24"/>
        </w:rPr>
        <w:t>might</w:t>
      </w:r>
      <w:r w:rsidR="00C74A2F">
        <w:rPr>
          <w:sz w:val="24"/>
          <w:szCs w:val="24"/>
        </w:rPr>
        <w:t xml:space="preserve"> </w:t>
      </w:r>
      <w:r w:rsidR="00226A4A">
        <w:rPr>
          <w:sz w:val="24"/>
          <w:szCs w:val="24"/>
        </w:rPr>
        <w:t xml:space="preserve">potentially </w:t>
      </w:r>
      <w:r w:rsidR="00C74A2F">
        <w:rPr>
          <w:sz w:val="24"/>
          <w:szCs w:val="24"/>
        </w:rPr>
        <w:t>lead to increasing numbers of Black men and women college</w:t>
      </w:r>
      <w:r w:rsidR="00226A4A">
        <w:rPr>
          <w:sz w:val="24"/>
          <w:szCs w:val="24"/>
        </w:rPr>
        <w:t>-goers. A decline in incarceration could not plausibly create</w:t>
      </w:r>
      <w:r w:rsidR="00C74A2F">
        <w:rPr>
          <w:sz w:val="24"/>
          <w:szCs w:val="24"/>
        </w:rPr>
        <w:t xml:space="preserve"> the drop in </w:t>
      </w:r>
      <w:r w:rsidR="00226A4A">
        <w:rPr>
          <w:sz w:val="24"/>
          <w:szCs w:val="24"/>
        </w:rPr>
        <w:t xml:space="preserve">the </w:t>
      </w:r>
      <w:r w:rsidR="00C91F71">
        <w:rPr>
          <w:sz w:val="24"/>
          <w:szCs w:val="24"/>
        </w:rPr>
        <w:t>number</w:t>
      </w:r>
      <w:r w:rsidR="00226A4A">
        <w:rPr>
          <w:sz w:val="24"/>
          <w:szCs w:val="24"/>
        </w:rPr>
        <w:t xml:space="preserve"> of Black </w:t>
      </w:r>
      <w:r w:rsidR="00C74A2F">
        <w:rPr>
          <w:sz w:val="24"/>
          <w:szCs w:val="24"/>
        </w:rPr>
        <w:t xml:space="preserve">college enrollments </w:t>
      </w:r>
      <w:r w:rsidR="00226A4A">
        <w:rPr>
          <w:sz w:val="24"/>
          <w:szCs w:val="24"/>
        </w:rPr>
        <w:t xml:space="preserve">that </w:t>
      </w:r>
      <w:r w:rsidR="00C74A2F">
        <w:rPr>
          <w:sz w:val="24"/>
          <w:szCs w:val="24"/>
        </w:rPr>
        <w:t>we have experienced since 2010.</w:t>
      </w:r>
    </w:p>
    <w:p w14:paraId="0C317226" w14:textId="08211A8A" w:rsidR="00E87A3A" w:rsidRDefault="00CE0FC6" w:rsidP="00E87A3A">
      <w:pPr>
        <w:rPr>
          <w:i/>
          <w:iCs/>
          <w:sz w:val="24"/>
          <w:szCs w:val="24"/>
        </w:rPr>
      </w:pPr>
      <w:r>
        <w:rPr>
          <w:i/>
          <w:iCs/>
          <w:sz w:val="24"/>
          <w:szCs w:val="24"/>
        </w:rPr>
        <w:t xml:space="preserve">Changing </w:t>
      </w:r>
      <w:r w:rsidR="00E87A3A" w:rsidRPr="00E87A3A">
        <w:rPr>
          <w:i/>
          <w:iCs/>
          <w:sz w:val="24"/>
          <w:szCs w:val="24"/>
        </w:rPr>
        <w:t xml:space="preserve">High School Graduation </w:t>
      </w:r>
      <w:r w:rsidR="007F7577">
        <w:rPr>
          <w:i/>
          <w:iCs/>
          <w:sz w:val="24"/>
          <w:szCs w:val="24"/>
        </w:rPr>
        <w:t>R</w:t>
      </w:r>
      <w:r w:rsidR="00E87A3A" w:rsidRPr="00E87A3A">
        <w:rPr>
          <w:i/>
          <w:iCs/>
          <w:sz w:val="24"/>
          <w:szCs w:val="24"/>
        </w:rPr>
        <w:t>ates</w:t>
      </w:r>
      <w:r w:rsidR="00645347">
        <w:rPr>
          <w:i/>
          <w:iCs/>
          <w:sz w:val="24"/>
          <w:szCs w:val="24"/>
        </w:rPr>
        <w:t xml:space="preserve"> </w:t>
      </w:r>
    </w:p>
    <w:p w14:paraId="33C1202A" w14:textId="4774DD0F" w:rsidR="002903F2" w:rsidRDefault="00FF1A69" w:rsidP="00E87A3A">
      <w:pPr>
        <w:rPr>
          <w:sz w:val="24"/>
          <w:szCs w:val="24"/>
        </w:rPr>
      </w:pPr>
      <w:r>
        <w:rPr>
          <w:sz w:val="24"/>
          <w:szCs w:val="24"/>
        </w:rPr>
        <w:t>For several decades</w:t>
      </w:r>
      <w:r w:rsidR="00CA36B8">
        <w:rPr>
          <w:sz w:val="24"/>
          <w:szCs w:val="24"/>
        </w:rPr>
        <w:t>,</w:t>
      </w:r>
      <w:r>
        <w:rPr>
          <w:sz w:val="24"/>
          <w:szCs w:val="24"/>
        </w:rPr>
        <w:t xml:space="preserve"> educators, policy makers, and community leaders have been urging </w:t>
      </w:r>
      <w:r w:rsidR="00DB7AAA">
        <w:rPr>
          <w:sz w:val="24"/>
          <w:szCs w:val="24"/>
        </w:rPr>
        <w:t xml:space="preserve">minority </w:t>
      </w:r>
      <w:r>
        <w:rPr>
          <w:sz w:val="24"/>
          <w:szCs w:val="24"/>
        </w:rPr>
        <w:t xml:space="preserve">youths to “stay in school.” Their efforts have been modestly successful, and </w:t>
      </w:r>
      <w:r w:rsidR="00A32B09">
        <w:rPr>
          <w:sz w:val="24"/>
          <w:szCs w:val="24"/>
        </w:rPr>
        <w:t xml:space="preserve">the </w:t>
      </w:r>
      <w:r>
        <w:rPr>
          <w:sz w:val="24"/>
          <w:szCs w:val="24"/>
        </w:rPr>
        <w:t xml:space="preserve">high school graduation rate – </w:t>
      </w:r>
      <w:r w:rsidR="00797EE5">
        <w:rPr>
          <w:sz w:val="24"/>
          <w:szCs w:val="24"/>
        </w:rPr>
        <w:t xml:space="preserve">measured as </w:t>
      </w:r>
      <w:r>
        <w:rPr>
          <w:sz w:val="24"/>
          <w:szCs w:val="24"/>
        </w:rPr>
        <w:t>the proportion of Black 18</w:t>
      </w:r>
      <w:r w:rsidR="00DB7AAA">
        <w:rPr>
          <w:sz w:val="24"/>
          <w:szCs w:val="24"/>
        </w:rPr>
        <w:t>-</w:t>
      </w:r>
      <w:r>
        <w:rPr>
          <w:sz w:val="24"/>
          <w:szCs w:val="24"/>
        </w:rPr>
        <w:t>to</w:t>
      </w:r>
      <w:r w:rsidR="00DB7AAA">
        <w:rPr>
          <w:sz w:val="24"/>
          <w:szCs w:val="24"/>
        </w:rPr>
        <w:t>-</w:t>
      </w:r>
      <w:r>
        <w:rPr>
          <w:sz w:val="24"/>
          <w:szCs w:val="24"/>
        </w:rPr>
        <w:t>24 year-olds who</w:t>
      </w:r>
      <w:r w:rsidR="00DB7AAA">
        <w:rPr>
          <w:sz w:val="24"/>
          <w:szCs w:val="24"/>
        </w:rPr>
        <w:t xml:space="preserve"> </w:t>
      </w:r>
      <w:r w:rsidR="002903F2">
        <w:rPr>
          <w:sz w:val="24"/>
          <w:szCs w:val="24"/>
        </w:rPr>
        <w:t xml:space="preserve">have </w:t>
      </w:r>
      <w:r w:rsidR="00DB7AAA">
        <w:rPr>
          <w:sz w:val="24"/>
          <w:szCs w:val="24"/>
        </w:rPr>
        <w:lastRenderedPageBreak/>
        <w:t>graduate</w:t>
      </w:r>
      <w:r w:rsidR="002903F2">
        <w:rPr>
          <w:sz w:val="24"/>
          <w:szCs w:val="24"/>
        </w:rPr>
        <w:t>d</w:t>
      </w:r>
      <w:r w:rsidR="00DB7AAA">
        <w:rPr>
          <w:sz w:val="24"/>
          <w:szCs w:val="24"/>
        </w:rPr>
        <w:t xml:space="preserve"> from</w:t>
      </w:r>
      <w:r>
        <w:rPr>
          <w:sz w:val="24"/>
          <w:szCs w:val="24"/>
        </w:rPr>
        <w:t xml:space="preserve"> high school </w:t>
      </w:r>
      <w:r w:rsidR="00797EE5">
        <w:rPr>
          <w:sz w:val="24"/>
          <w:szCs w:val="24"/>
        </w:rPr>
        <w:t>– ha</w:t>
      </w:r>
      <w:r w:rsidR="00A32B09">
        <w:rPr>
          <w:sz w:val="24"/>
          <w:szCs w:val="24"/>
        </w:rPr>
        <w:t>s</w:t>
      </w:r>
      <w:r>
        <w:rPr>
          <w:sz w:val="24"/>
          <w:szCs w:val="24"/>
        </w:rPr>
        <w:t xml:space="preserve"> increased from 89% in 2010 to 93% in 2017</w:t>
      </w:r>
      <w:r w:rsidR="00645347">
        <w:rPr>
          <w:sz w:val="24"/>
          <w:szCs w:val="24"/>
        </w:rPr>
        <w:t xml:space="preserve"> </w:t>
      </w:r>
      <w:r w:rsidR="00C12EAB">
        <w:rPr>
          <w:rStyle w:val="FootnoteReference"/>
          <w:i/>
          <w:iCs/>
          <w:sz w:val="24"/>
          <w:szCs w:val="24"/>
        </w:rPr>
        <w:footnoteReference w:id="6"/>
      </w:r>
      <w:r>
        <w:rPr>
          <w:sz w:val="24"/>
          <w:szCs w:val="24"/>
        </w:rPr>
        <w:t xml:space="preserve">. This success story </w:t>
      </w:r>
      <w:r w:rsidR="00C537B9">
        <w:rPr>
          <w:sz w:val="24"/>
          <w:szCs w:val="24"/>
        </w:rPr>
        <w:t xml:space="preserve">applies </w:t>
      </w:r>
      <w:r>
        <w:rPr>
          <w:sz w:val="24"/>
          <w:szCs w:val="24"/>
        </w:rPr>
        <w:t xml:space="preserve">both </w:t>
      </w:r>
      <w:r w:rsidR="006F7FCE">
        <w:rPr>
          <w:sz w:val="24"/>
          <w:szCs w:val="24"/>
        </w:rPr>
        <w:t xml:space="preserve">to </w:t>
      </w:r>
      <w:r>
        <w:rPr>
          <w:sz w:val="24"/>
          <w:szCs w:val="24"/>
        </w:rPr>
        <w:t xml:space="preserve">young Black men and </w:t>
      </w:r>
      <w:r w:rsidR="00CA36B8">
        <w:rPr>
          <w:sz w:val="24"/>
          <w:szCs w:val="24"/>
        </w:rPr>
        <w:t xml:space="preserve">to </w:t>
      </w:r>
      <w:r w:rsidR="00C537B9">
        <w:rPr>
          <w:sz w:val="24"/>
          <w:szCs w:val="24"/>
        </w:rPr>
        <w:t xml:space="preserve">young Black </w:t>
      </w:r>
      <w:r>
        <w:rPr>
          <w:sz w:val="24"/>
          <w:szCs w:val="24"/>
        </w:rPr>
        <w:t xml:space="preserve">women, and it increases the </w:t>
      </w:r>
      <w:r w:rsidR="00C537B9">
        <w:rPr>
          <w:sz w:val="24"/>
          <w:szCs w:val="24"/>
        </w:rPr>
        <w:t>pool</w:t>
      </w:r>
      <w:r>
        <w:rPr>
          <w:sz w:val="24"/>
          <w:szCs w:val="24"/>
        </w:rPr>
        <w:t xml:space="preserve"> of </w:t>
      </w:r>
      <w:r w:rsidR="00797EE5">
        <w:rPr>
          <w:sz w:val="24"/>
          <w:szCs w:val="24"/>
        </w:rPr>
        <w:t xml:space="preserve">Black youth </w:t>
      </w:r>
      <w:r>
        <w:rPr>
          <w:sz w:val="24"/>
          <w:szCs w:val="24"/>
        </w:rPr>
        <w:t xml:space="preserve">who are qualified to go on to college and </w:t>
      </w:r>
      <w:r w:rsidR="00DB7AAA">
        <w:rPr>
          <w:sz w:val="24"/>
          <w:szCs w:val="24"/>
        </w:rPr>
        <w:t xml:space="preserve">therefore </w:t>
      </w:r>
      <w:r>
        <w:rPr>
          <w:sz w:val="24"/>
          <w:szCs w:val="24"/>
        </w:rPr>
        <w:t xml:space="preserve">offsets to some degree the recent </w:t>
      </w:r>
      <w:r w:rsidR="0034386F">
        <w:rPr>
          <w:sz w:val="24"/>
          <w:szCs w:val="24"/>
        </w:rPr>
        <w:t xml:space="preserve">demographic </w:t>
      </w:r>
      <w:r>
        <w:rPr>
          <w:sz w:val="24"/>
          <w:szCs w:val="24"/>
        </w:rPr>
        <w:t xml:space="preserve">decline in the size of the Black </w:t>
      </w:r>
      <w:r w:rsidR="0034386F">
        <w:rPr>
          <w:sz w:val="24"/>
          <w:szCs w:val="24"/>
        </w:rPr>
        <w:t>youth</w:t>
      </w:r>
      <w:r>
        <w:rPr>
          <w:sz w:val="24"/>
          <w:szCs w:val="24"/>
        </w:rPr>
        <w:t xml:space="preserve"> cohort. Why then </w:t>
      </w:r>
      <w:r w:rsidR="006A3A88">
        <w:rPr>
          <w:sz w:val="24"/>
          <w:szCs w:val="24"/>
        </w:rPr>
        <w:t xml:space="preserve">are </w:t>
      </w:r>
      <w:r w:rsidR="00DB7AAA">
        <w:rPr>
          <w:sz w:val="24"/>
          <w:szCs w:val="24"/>
        </w:rPr>
        <w:t xml:space="preserve">Black </w:t>
      </w:r>
      <w:r w:rsidR="006A3A88">
        <w:rPr>
          <w:sz w:val="24"/>
          <w:szCs w:val="24"/>
        </w:rPr>
        <w:t>college enrollments declining?</w:t>
      </w:r>
    </w:p>
    <w:p w14:paraId="5F3718B7" w14:textId="64085418" w:rsidR="00E87A3A" w:rsidRDefault="00E87A3A" w:rsidP="00E87A3A">
      <w:pPr>
        <w:rPr>
          <w:i/>
          <w:iCs/>
          <w:sz w:val="24"/>
          <w:szCs w:val="24"/>
        </w:rPr>
      </w:pPr>
      <w:r w:rsidRPr="00E87A3A">
        <w:rPr>
          <w:i/>
          <w:iCs/>
          <w:sz w:val="24"/>
          <w:szCs w:val="24"/>
        </w:rPr>
        <w:t>Immediate Transition from High School to College.</w:t>
      </w:r>
    </w:p>
    <w:p w14:paraId="2E8EFD27" w14:textId="4A561640" w:rsidR="006A3A88" w:rsidRDefault="00C537B9" w:rsidP="00E87A3A">
      <w:pPr>
        <w:rPr>
          <w:sz w:val="24"/>
          <w:szCs w:val="24"/>
        </w:rPr>
      </w:pPr>
      <w:r>
        <w:rPr>
          <w:sz w:val="24"/>
          <w:szCs w:val="24"/>
        </w:rPr>
        <w:t xml:space="preserve">The first clue is to be found in government </w:t>
      </w:r>
      <w:r w:rsidR="00F675EF">
        <w:rPr>
          <w:sz w:val="24"/>
          <w:szCs w:val="24"/>
        </w:rPr>
        <w:t>figures</w:t>
      </w:r>
      <w:r>
        <w:rPr>
          <w:sz w:val="24"/>
          <w:szCs w:val="24"/>
        </w:rPr>
        <w:t xml:space="preserve"> </w:t>
      </w:r>
      <w:r w:rsidR="00F675EF">
        <w:rPr>
          <w:sz w:val="24"/>
          <w:szCs w:val="24"/>
        </w:rPr>
        <w:t>about</w:t>
      </w:r>
      <w:r>
        <w:rPr>
          <w:sz w:val="24"/>
          <w:szCs w:val="24"/>
        </w:rPr>
        <w:t xml:space="preserve"> the proportion of high school graduates who enter college in the year immediately after high school graduation.  There has been a quite rapid drop in the proportion of Black high school graduates enrolling in college in the year</w:t>
      </w:r>
      <w:r w:rsidR="00702FB1">
        <w:rPr>
          <w:sz w:val="24"/>
          <w:szCs w:val="24"/>
        </w:rPr>
        <w:t xml:space="preserve"> following high school</w:t>
      </w:r>
      <w:r>
        <w:rPr>
          <w:sz w:val="24"/>
          <w:szCs w:val="24"/>
        </w:rPr>
        <w:t>, from 66% in 2010 to 56</w:t>
      </w:r>
      <w:r w:rsidR="007B7F87">
        <w:rPr>
          <w:sz w:val="24"/>
          <w:szCs w:val="24"/>
        </w:rPr>
        <w:t>.5</w:t>
      </w:r>
      <w:r>
        <w:rPr>
          <w:sz w:val="24"/>
          <w:szCs w:val="24"/>
        </w:rPr>
        <w:t>% in 2016 (the latest figure available)</w:t>
      </w:r>
      <w:r w:rsidR="006949E3">
        <w:rPr>
          <w:sz w:val="24"/>
          <w:szCs w:val="24"/>
        </w:rPr>
        <w:t>.</w:t>
      </w:r>
      <w:r w:rsidR="00CD48E2">
        <w:rPr>
          <w:rStyle w:val="FootnoteReference"/>
          <w:sz w:val="24"/>
          <w:szCs w:val="24"/>
        </w:rPr>
        <w:footnoteReference w:id="7"/>
      </w:r>
      <w:r>
        <w:rPr>
          <w:sz w:val="24"/>
          <w:szCs w:val="24"/>
        </w:rPr>
        <w:t xml:space="preserve"> </w:t>
      </w:r>
    </w:p>
    <w:p w14:paraId="43577F68" w14:textId="626DA5C7" w:rsidR="006C1E74" w:rsidRDefault="0034386F" w:rsidP="00E87A3A">
      <w:pPr>
        <w:rPr>
          <w:sz w:val="24"/>
          <w:szCs w:val="24"/>
        </w:rPr>
      </w:pPr>
      <w:r>
        <w:rPr>
          <w:sz w:val="24"/>
          <w:szCs w:val="24"/>
        </w:rPr>
        <w:t>This</w:t>
      </w:r>
      <w:r w:rsidR="006C1E74">
        <w:rPr>
          <w:sz w:val="24"/>
          <w:szCs w:val="24"/>
        </w:rPr>
        <w:t xml:space="preserve"> </w:t>
      </w:r>
      <w:r w:rsidR="00B551F3">
        <w:rPr>
          <w:sz w:val="24"/>
          <w:szCs w:val="24"/>
        </w:rPr>
        <w:t xml:space="preserve">roughly </w:t>
      </w:r>
      <w:r w:rsidR="006C1E74">
        <w:rPr>
          <w:sz w:val="24"/>
          <w:szCs w:val="24"/>
        </w:rPr>
        <w:t>ten percentage-point d</w:t>
      </w:r>
      <w:r w:rsidR="00367B8F">
        <w:rPr>
          <w:sz w:val="24"/>
          <w:szCs w:val="24"/>
        </w:rPr>
        <w:t>ecline</w:t>
      </w:r>
      <w:r w:rsidR="006C1E74">
        <w:rPr>
          <w:sz w:val="24"/>
          <w:szCs w:val="24"/>
        </w:rPr>
        <w:t xml:space="preserve"> in the </w:t>
      </w:r>
      <w:r w:rsidR="00B0272D">
        <w:rPr>
          <w:sz w:val="24"/>
          <w:szCs w:val="24"/>
        </w:rPr>
        <w:t xml:space="preserve">immediate </w:t>
      </w:r>
      <w:r w:rsidR="006C1E74">
        <w:rPr>
          <w:sz w:val="24"/>
          <w:szCs w:val="24"/>
        </w:rPr>
        <w:t xml:space="preserve">transition to college raises the question as to what these high school graduates are doing instead. The </w:t>
      </w:r>
      <w:r w:rsidR="00702FB1">
        <w:rPr>
          <w:sz w:val="24"/>
          <w:szCs w:val="24"/>
        </w:rPr>
        <w:t xml:space="preserve">most plausible answer is </w:t>
      </w:r>
      <w:r w:rsidR="006C1E74">
        <w:rPr>
          <w:sz w:val="24"/>
          <w:szCs w:val="24"/>
        </w:rPr>
        <w:t>that the economic recovery in the years after the 2007</w:t>
      </w:r>
      <w:r w:rsidR="008934D5">
        <w:rPr>
          <w:sz w:val="24"/>
          <w:szCs w:val="24"/>
        </w:rPr>
        <w:t>/</w:t>
      </w:r>
      <w:r>
        <w:rPr>
          <w:sz w:val="24"/>
          <w:szCs w:val="24"/>
        </w:rPr>
        <w:t>8</w:t>
      </w:r>
      <w:r w:rsidR="006C1E74">
        <w:rPr>
          <w:sz w:val="24"/>
          <w:szCs w:val="24"/>
        </w:rPr>
        <w:t xml:space="preserve"> recession and the</w:t>
      </w:r>
      <w:r w:rsidR="00367B8F">
        <w:rPr>
          <w:sz w:val="24"/>
          <w:szCs w:val="24"/>
        </w:rPr>
        <w:t xml:space="preserve"> </w:t>
      </w:r>
      <w:r w:rsidR="006C1E74">
        <w:rPr>
          <w:sz w:val="24"/>
          <w:szCs w:val="24"/>
        </w:rPr>
        <w:t xml:space="preserve">recent economic expansion have </w:t>
      </w:r>
      <w:r w:rsidR="00F675EF">
        <w:rPr>
          <w:sz w:val="24"/>
          <w:szCs w:val="24"/>
        </w:rPr>
        <w:t xml:space="preserve">greatly </w:t>
      </w:r>
      <w:r w:rsidR="006C1E74">
        <w:rPr>
          <w:sz w:val="24"/>
          <w:szCs w:val="24"/>
        </w:rPr>
        <w:t>improved employment prospects for Black youth</w:t>
      </w:r>
      <w:r w:rsidR="00702FB1">
        <w:rPr>
          <w:sz w:val="24"/>
          <w:szCs w:val="24"/>
        </w:rPr>
        <w:t xml:space="preserve"> and </w:t>
      </w:r>
      <w:r w:rsidR="006C1E74">
        <w:rPr>
          <w:sz w:val="24"/>
          <w:szCs w:val="24"/>
        </w:rPr>
        <w:t>led some who might otherwise have continued into college to take jobs instead.</w:t>
      </w:r>
    </w:p>
    <w:p w14:paraId="29C4B734" w14:textId="4A0B8FE6" w:rsidR="006C1E74" w:rsidRDefault="006C1E74" w:rsidP="29124017">
      <w:pPr>
        <w:rPr>
          <w:sz w:val="24"/>
          <w:szCs w:val="24"/>
        </w:rPr>
      </w:pPr>
      <w:r w:rsidRPr="29124017">
        <w:rPr>
          <w:sz w:val="24"/>
          <w:szCs w:val="24"/>
        </w:rPr>
        <w:t xml:space="preserve">The evidence for this is indirect, and is presented in </w:t>
      </w:r>
      <w:r w:rsidR="133FB3EF" w:rsidRPr="29124017">
        <w:rPr>
          <w:sz w:val="24"/>
          <w:szCs w:val="24"/>
        </w:rPr>
        <w:t>Figure Three</w:t>
      </w:r>
      <w:r w:rsidRPr="29124017">
        <w:rPr>
          <w:sz w:val="24"/>
          <w:szCs w:val="24"/>
        </w:rPr>
        <w:t xml:space="preserve">. We focus </w:t>
      </w:r>
      <w:r w:rsidR="00702FB1" w:rsidRPr="29124017">
        <w:rPr>
          <w:sz w:val="24"/>
          <w:szCs w:val="24"/>
        </w:rPr>
        <w:t xml:space="preserve">initially </w:t>
      </w:r>
      <w:r w:rsidRPr="29124017">
        <w:rPr>
          <w:sz w:val="24"/>
          <w:szCs w:val="24"/>
        </w:rPr>
        <w:t xml:space="preserve">on </w:t>
      </w:r>
      <w:r w:rsidR="51FCA91A" w:rsidRPr="29124017">
        <w:rPr>
          <w:sz w:val="24"/>
          <w:szCs w:val="24"/>
        </w:rPr>
        <w:t>a group of young people that demographers refer to as NEET</w:t>
      </w:r>
      <w:r w:rsidR="006949E3" w:rsidRPr="29124017">
        <w:rPr>
          <w:sz w:val="24"/>
          <w:szCs w:val="24"/>
        </w:rPr>
        <w:t>s</w:t>
      </w:r>
      <w:r w:rsidR="51FCA91A" w:rsidRPr="29124017">
        <w:rPr>
          <w:sz w:val="24"/>
          <w:szCs w:val="24"/>
        </w:rPr>
        <w:t>, which stands for “Neither in Employment nor Education nor Training.” NEET</w:t>
      </w:r>
      <w:r w:rsidR="006949E3" w:rsidRPr="29124017">
        <w:rPr>
          <w:sz w:val="24"/>
          <w:szCs w:val="24"/>
        </w:rPr>
        <w:t>s</w:t>
      </w:r>
      <w:r w:rsidR="51FCA91A" w:rsidRPr="29124017">
        <w:rPr>
          <w:sz w:val="24"/>
          <w:szCs w:val="24"/>
        </w:rPr>
        <w:t xml:space="preserve"> are young people who are disconnected from the worlds of work and education. The changing numbers of </w:t>
      </w:r>
      <w:r w:rsidR="23B39153" w:rsidRPr="29124017">
        <w:rPr>
          <w:sz w:val="24"/>
          <w:szCs w:val="24"/>
        </w:rPr>
        <w:t xml:space="preserve">Black </w:t>
      </w:r>
      <w:r w:rsidR="51FCA91A" w:rsidRPr="29124017">
        <w:rPr>
          <w:sz w:val="24"/>
          <w:szCs w:val="24"/>
        </w:rPr>
        <w:t>NEET</w:t>
      </w:r>
      <w:r w:rsidR="006949E3" w:rsidRPr="29124017">
        <w:rPr>
          <w:sz w:val="24"/>
          <w:szCs w:val="24"/>
        </w:rPr>
        <w:t>s</w:t>
      </w:r>
      <w:r w:rsidR="51FCA91A" w:rsidRPr="29124017">
        <w:rPr>
          <w:sz w:val="24"/>
          <w:szCs w:val="24"/>
        </w:rPr>
        <w:t xml:space="preserve"> </w:t>
      </w:r>
      <w:r w:rsidR="007A12A1">
        <w:rPr>
          <w:sz w:val="24"/>
          <w:szCs w:val="24"/>
        </w:rPr>
        <w:t xml:space="preserve">– in Figure Three below -- </w:t>
      </w:r>
      <w:r w:rsidR="51FCA91A" w:rsidRPr="29124017">
        <w:rPr>
          <w:sz w:val="24"/>
          <w:szCs w:val="24"/>
        </w:rPr>
        <w:t xml:space="preserve">provide a window into how the economy is affecting a very </w:t>
      </w:r>
      <w:r w:rsidR="00367B8F">
        <w:rPr>
          <w:sz w:val="24"/>
          <w:szCs w:val="24"/>
        </w:rPr>
        <w:t>economically-</w:t>
      </w:r>
      <w:r w:rsidR="51FCA91A" w:rsidRPr="29124017">
        <w:rPr>
          <w:sz w:val="24"/>
          <w:szCs w:val="24"/>
        </w:rPr>
        <w:t xml:space="preserve">vulnerable part of the community.    </w:t>
      </w:r>
    </w:p>
    <w:p w14:paraId="6AD661E2" w14:textId="4D259647" w:rsidR="007A12A1" w:rsidRDefault="007A12A1" w:rsidP="007A12A1">
      <w:pPr>
        <w:rPr>
          <w:sz w:val="24"/>
          <w:szCs w:val="24"/>
        </w:rPr>
      </w:pPr>
      <w:r>
        <w:rPr>
          <w:sz w:val="24"/>
          <w:szCs w:val="24"/>
        </w:rPr>
        <w:t xml:space="preserve">Black youth ages 20 to 24 who have not completed high school are </w:t>
      </w:r>
      <w:r w:rsidR="00D83520">
        <w:rPr>
          <w:sz w:val="24"/>
          <w:szCs w:val="24"/>
        </w:rPr>
        <w:t xml:space="preserve">the </w:t>
      </w:r>
      <w:r>
        <w:rPr>
          <w:sz w:val="24"/>
          <w:szCs w:val="24"/>
        </w:rPr>
        <w:t>least likely to go to college or to find employment. About 65% of this group were NEETs in 2010. But by 2016, only 54% of Black high school non-completers in this age group had NEET status, a ten percentage-point reduction in six years. They have been able to find employment.</w:t>
      </w:r>
    </w:p>
    <w:p w14:paraId="3D76068D" w14:textId="77777777" w:rsidR="007A12A1" w:rsidRDefault="007A12A1" w:rsidP="007A12A1">
      <w:pPr>
        <w:rPr>
          <w:sz w:val="24"/>
          <w:szCs w:val="24"/>
        </w:rPr>
      </w:pPr>
      <w:r>
        <w:rPr>
          <w:sz w:val="24"/>
          <w:szCs w:val="24"/>
        </w:rPr>
        <w:lastRenderedPageBreak/>
        <w:t xml:space="preserve">Some Black youth who have successfully graduated from high school also do not find jobs or continue in education, although they are much less likely to enter NEET status than their counterparts who did not graduate high school. Nevertheless, about one-quarter of Black high school graduates aged 20 to 24 were NEETs in 2010. Again, their numbers have dropped considerably in the six years since 2010, to 19.5%. This recent drop in the proportion of Black youths who are NEETS is evident both for men and for women. </w:t>
      </w:r>
    </w:p>
    <w:p w14:paraId="567292B4" w14:textId="0472D571" w:rsidR="007B7F87" w:rsidRDefault="007B7F87" w:rsidP="00E87A3A">
      <w:pPr>
        <w:rPr>
          <w:sz w:val="24"/>
          <w:szCs w:val="24"/>
        </w:rPr>
      </w:pPr>
    </w:p>
    <w:p w14:paraId="0ED79B1F" w14:textId="0A4A3304" w:rsidR="00B551F3" w:rsidRPr="00B551F3" w:rsidRDefault="10EAFB61" w:rsidP="29124017">
      <w:pPr>
        <w:jc w:val="center"/>
        <w:rPr>
          <w:rFonts w:ascii="Calibri" w:eastAsia="Calibri" w:hAnsi="Calibri" w:cs="Calibri"/>
          <w:sz w:val="28"/>
          <w:szCs w:val="28"/>
        </w:rPr>
      </w:pPr>
      <w:r w:rsidRPr="29124017">
        <w:rPr>
          <w:rFonts w:ascii="Calibri" w:eastAsia="Calibri" w:hAnsi="Calibri" w:cs="Calibri"/>
          <w:sz w:val="28"/>
          <w:szCs w:val="28"/>
        </w:rPr>
        <w:t>Figure Three</w:t>
      </w:r>
      <w:r w:rsidR="00B551F3" w:rsidRPr="29124017">
        <w:rPr>
          <w:rFonts w:ascii="Calibri" w:eastAsia="Calibri" w:hAnsi="Calibri" w:cs="Calibri"/>
          <w:sz w:val="28"/>
          <w:szCs w:val="28"/>
        </w:rPr>
        <w:t>.</w:t>
      </w:r>
    </w:p>
    <w:p w14:paraId="45E2B883" w14:textId="196DCBCC" w:rsidR="5DA70210" w:rsidRDefault="5DA70210" w:rsidP="5CC2FCAC">
      <w:pPr>
        <w:spacing w:before="240" w:after="0"/>
        <w:jc w:val="center"/>
      </w:pPr>
      <w:r>
        <w:rPr>
          <w:noProof/>
        </w:rPr>
        <w:drawing>
          <wp:inline distT="0" distB="0" distL="0" distR="0" wp14:anchorId="0511A353" wp14:editId="1EBD22D0">
            <wp:extent cx="4591052" cy="3276600"/>
            <wp:effectExtent l="0" t="0" r="0" b="0"/>
            <wp:docPr id="1408121783" name="Picture 140812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91052" cy="3276600"/>
                    </a:xfrm>
                    <a:prstGeom prst="rect">
                      <a:avLst/>
                    </a:prstGeom>
                  </pic:spPr>
                </pic:pic>
              </a:graphicData>
            </a:graphic>
          </wp:inline>
        </w:drawing>
      </w:r>
    </w:p>
    <w:p w14:paraId="659736B8" w14:textId="79ABF240" w:rsidR="006F7FCE" w:rsidRDefault="00B551F3" w:rsidP="00DE5593">
      <w:pPr>
        <w:spacing w:before="240" w:after="0"/>
        <w:rPr>
          <w:rFonts w:ascii="Calibri" w:eastAsia="Calibri" w:hAnsi="Calibri" w:cs="Calibri"/>
        </w:rPr>
      </w:pPr>
      <w:r>
        <w:rPr>
          <w:rFonts w:ascii="Calibri" w:eastAsia="Calibri" w:hAnsi="Calibri" w:cs="Calibri"/>
          <w:i/>
          <w:iCs/>
        </w:rPr>
        <w:t xml:space="preserve">Source:  Digest of Education Statistics (2018 eds.), Table 501.30 </w:t>
      </w:r>
      <w:r>
        <w:rPr>
          <w:rFonts w:ascii="Calibri" w:eastAsia="Calibri" w:hAnsi="Calibri" w:cs="Calibri"/>
        </w:rPr>
        <w:t>Retrieved from</w:t>
      </w:r>
      <w:r w:rsidR="00B615B0">
        <w:rPr>
          <w:rFonts w:ascii="Calibri" w:eastAsia="Calibri" w:hAnsi="Calibri" w:cs="Calibri"/>
        </w:rPr>
        <w:t>:</w:t>
      </w:r>
      <w:r>
        <w:rPr>
          <w:rFonts w:ascii="Calibri" w:eastAsia="Calibri" w:hAnsi="Calibri" w:cs="Calibri"/>
        </w:rPr>
        <w:t xml:space="preserve"> </w:t>
      </w:r>
      <w:hyperlink r:id="rId11" w:history="1">
        <w:r w:rsidR="006F7FCE" w:rsidRPr="001A2C74">
          <w:rPr>
            <w:rStyle w:val="Hyperlink"/>
            <w:rFonts w:ascii="Calibri" w:eastAsia="Calibri" w:hAnsi="Calibri" w:cs="Calibri"/>
          </w:rPr>
          <w:t>https://nces.ed.gov/programs/digest/d18/tables/dt18_501.30.asp</w:t>
        </w:r>
      </w:hyperlink>
    </w:p>
    <w:p w14:paraId="54798546" w14:textId="147E40FA" w:rsidR="00DE5593" w:rsidRDefault="00DE5593" w:rsidP="00E87A3A">
      <w:pPr>
        <w:rPr>
          <w:rFonts w:ascii="Calibri" w:eastAsia="Calibri" w:hAnsi="Calibri" w:cs="Calibri"/>
        </w:rPr>
      </w:pPr>
      <w:r>
        <w:rPr>
          <w:rFonts w:ascii="Calibri" w:eastAsia="Calibri" w:hAnsi="Calibri" w:cs="Calibri"/>
        </w:rPr>
        <w:t>Every 2017 figure is statistically significantly lower than the corresponding 2010 number.</w:t>
      </w:r>
    </w:p>
    <w:p w14:paraId="646C4B0F" w14:textId="77777777" w:rsidR="005C1280" w:rsidRDefault="005C1280" w:rsidP="00E87A3A">
      <w:pPr>
        <w:rPr>
          <w:sz w:val="24"/>
          <w:szCs w:val="24"/>
        </w:rPr>
      </w:pPr>
    </w:p>
    <w:p w14:paraId="2D2F3A72" w14:textId="1CCFA150" w:rsidR="006C1E74" w:rsidRPr="00C537B9" w:rsidRDefault="00397E8E" w:rsidP="00E87A3A">
      <w:pPr>
        <w:rPr>
          <w:sz w:val="24"/>
          <w:szCs w:val="24"/>
        </w:rPr>
      </w:pPr>
      <w:r>
        <w:rPr>
          <w:sz w:val="24"/>
          <w:szCs w:val="24"/>
        </w:rPr>
        <w:t xml:space="preserve">The fact that fewer individuals than previously are unable to find employment or go to school is a strong hint that a buoyant economy is </w:t>
      </w:r>
      <w:r w:rsidR="00FA2E57">
        <w:rPr>
          <w:sz w:val="24"/>
          <w:szCs w:val="24"/>
        </w:rPr>
        <w:t xml:space="preserve">drawing </w:t>
      </w:r>
      <w:r w:rsidR="00590BA8">
        <w:rPr>
          <w:sz w:val="24"/>
          <w:szCs w:val="24"/>
        </w:rPr>
        <w:t>economically</w:t>
      </w:r>
      <w:r w:rsidR="00702FB1">
        <w:rPr>
          <w:sz w:val="24"/>
          <w:szCs w:val="24"/>
        </w:rPr>
        <w:t xml:space="preserve"> vulnerable </w:t>
      </w:r>
      <w:r w:rsidR="00FA2E57">
        <w:rPr>
          <w:sz w:val="24"/>
          <w:szCs w:val="24"/>
        </w:rPr>
        <w:t xml:space="preserve">young people into employment. </w:t>
      </w:r>
      <w:r w:rsidR="00B615B0">
        <w:rPr>
          <w:sz w:val="24"/>
          <w:szCs w:val="24"/>
        </w:rPr>
        <w:t>By implication, we might expect similar increases in employment opportunities to draw some students away from college, which we examine next.</w:t>
      </w:r>
    </w:p>
    <w:p w14:paraId="0EC83EDF" w14:textId="75BD825F" w:rsidR="000C12E6" w:rsidRDefault="00E87A3A" w:rsidP="00E87A3A">
      <w:pPr>
        <w:rPr>
          <w:i/>
          <w:iCs/>
          <w:sz w:val="24"/>
          <w:szCs w:val="24"/>
        </w:rPr>
      </w:pPr>
      <w:r>
        <w:rPr>
          <w:i/>
          <w:iCs/>
          <w:sz w:val="24"/>
          <w:szCs w:val="24"/>
        </w:rPr>
        <w:t xml:space="preserve">Changing Enrollments across </w:t>
      </w:r>
      <w:r w:rsidR="007F7577">
        <w:rPr>
          <w:i/>
          <w:iCs/>
          <w:sz w:val="24"/>
          <w:szCs w:val="24"/>
        </w:rPr>
        <w:t xml:space="preserve">College Sectors. </w:t>
      </w:r>
    </w:p>
    <w:p w14:paraId="55FF7024" w14:textId="0E9D9D6D" w:rsidR="001343C6" w:rsidRDefault="001343C6" w:rsidP="001343C6">
      <w:pPr>
        <w:rPr>
          <w:sz w:val="24"/>
          <w:szCs w:val="24"/>
        </w:rPr>
      </w:pPr>
      <w:r w:rsidRPr="29124017">
        <w:rPr>
          <w:sz w:val="24"/>
          <w:szCs w:val="24"/>
        </w:rPr>
        <w:t xml:space="preserve">Table One presents our analyses of college enrollment, using data collected from over 4000 individual colleges by the US Department of Education, in a reporting system known as </w:t>
      </w:r>
      <w:r w:rsidR="000C507B">
        <w:rPr>
          <w:sz w:val="24"/>
          <w:szCs w:val="24"/>
        </w:rPr>
        <w:t xml:space="preserve">the </w:t>
      </w:r>
      <w:r w:rsidR="000C507B">
        <w:rPr>
          <w:sz w:val="24"/>
          <w:szCs w:val="24"/>
        </w:rPr>
        <w:lastRenderedPageBreak/>
        <w:t>Integrated Postsecondary Data System (or IPEDS)</w:t>
      </w:r>
      <w:r w:rsidRPr="29124017">
        <w:rPr>
          <w:sz w:val="24"/>
          <w:szCs w:val="24"/>
        </w:rPr>
        <w:t xml:space="preserve">. </w:t>
      </w:r>
      <w:r w:rsidR="00DD1CD0">
        <w:rPr>
          <w:sz w:val="24"/>
          <w:szCs w:val="24"/>
        </w:rPr>
        <w:t>IPEDS</w:t>
      </w:r>
      <w:r w:rsidRPr="29124017">
        <w:rPr>
          <w:sz w:val="24"/>
          <w:szCs w:val="24"/>
        </w:rPr>
        <w:t xml:space="preserve"> cover</w:t>
      </w:r>
      <w:r w:rsidR="00DD1CD0">
        <w:rPr>
          <w:sz w:val="24"/>
          <w:szCs w:val="24"/>
        </w:rPr>
        <w:t>s</w:t>
      </w:r>
      <w:r w:rsidRPr="29124017">
        <w:rPr>
          <w:sz w:val="24"/>
          <w:szCs w:val="24"/>
        </w:rPr>
        <w:t xml:space="preserve"> all colleges nationwide that are covered by Title I</w:t>
      </w:r>
      <w:r w:rsidR="00461720">
        <w:rPr>
          <w:sz w:val="24"/>
          <w:szCs w:val="24"/>
        </w:rPr>
        <w:t>V</w:t>
      </w:r>
      <w:r w:rsidRPr="29124017">
        <w:rPr>
          <w:sz w:val="24"/>
          <w:szCs w:val="24"/>
        </w:rPr>
        <w:t xml:space="preserve"> and whose students are therefore eligible for federal funding.</w:t>
      </w:r>
    </w:p>
    <w:p w14:paraId="437E0A45" w14:textId="1B559E92" w:rsidR="001343C6" w:rsidRDefault="001343C6" w:rsidP="001343C6">
      <w:pPr>
        <w:rPr>
          <w:sz w:val="24"/>
          <w:szCs w:val="24"/>
        </w:rPr>
      </w:pPr>
      <w:r w:rsidRPr="29124017">
        <w:rPr>
          <w:sz w:val="24"/>
          <w:szCs w:val="24"/>
        </w:rPr>
        <w:t xml:space="preserve">The left-hand side of Table One reports Fall enrollment numbers for all undergraduates (from freshmen to seniors) and separately for Black undergraduates for the period 2010 to 2017. The right-hand side reports similar numbers but for first-time </w:t>
      </w:r>
      <w:r w:rsidR="00367B8F">
        <w:rPr>
          <w:sz w:val="24"/>
          <w:szCs w:val="24"/>
        </w:rPr>
        <w:t>undergraduates</w:t>
      </w:r>
      <w:r w:rsidRPr="29124017">
        <w:rPr>
          <w:sz w:val="24"/>
          <w:szCs w:val="24"/>
        </w:rPr>
        <w:t xml:space="preserve">. </w:t>
      </w:r>
    </w:p>
    <w:p w14:paraId="555CC6D7" w14:textId="77777777" w:rsidR="001343C6" w:rsidRPr="00096CB6" w:rsidRDefault="001343C6" w:rsidP="001343C6">
      <w:pPr>
        <w:rPr>
          <w:sz w:val="24"/>
          <w:szCs w:val="24"/>
        </w:rPr>
      </w:pPr>
      <w:r>
        <w:rPr>
          <w:sz w:val="24"/>
          <w:szCs w:val="24"/>
        </w:rPr>
        <w:t>Looking first at the left-hand panel, we see that Black</w:t>
      </w:r>
      <w:r w:rsidRPr="00096CB6">
        <w:rPr>
          <w:sz w:val="24"/>
          <w:szCs w:val="24"/>
        </w:rPr>
        <w:t xml:space="preserve"> enrollments </w:t>
      </w:r>
      <w:r>
        <w:rPr>
          <w:sz w:val="24"/>
          <w:szCs w:val="24"/>
        </w:rPr>
        <w:t xml:space="preserve">as a whole </w:t>
      </w:r>
      <w:r w:rsidRPr="00096CB6">
        <w:rPr>
          <w:sz w:val="24"/>
          <w:szCs w:val="24"/>
        </w:rPr>
        <w:t xml:space="preserve">have dropped by 8.8% (by about 202,000 students) compared to a 2% decline for undergraduates </w:t>
      </w:r>
      <w:r>
        <w:rPr>
          <w:sz w:val="24"/>
          <w:szCs w:val="24"/>
        </w:rPr>
        <w:t>of all races.</w:t>
      </w:r>
      <w:r w:rsidRPr="00096CB6">
        <w:rPr>
          <w:sz w:val="24"/>
          <w:szCs w:val="24"/>
        </w:rPr>
        <w:t xml:space="preserve"> </w:t>
      </w:r>
    </w:p>
    <w:p w14:paraId="489061B8" w14:textId="1ACDBA53" w:rsidR="003E3341" w:rsidRDefault="001343C6">
      <w:pPr>
        <w:rPr>
          <w:sz w:val="24"/>
          <w:szCs w:val="24"/>
        </w:rPr>
      </w:pPr>
      <w:r w:rsidRPr="00096CB6">
        <w:rPr>
          <w:sz w:val="24"/>
          <w:szCs w:val="24"/>
        </w:rPr>
        <w:t xml:space="preserve">This overall shrinkage in undergraduate numbers combines two opposite trends. At four-year public colleges and universities—the largest sector in higher education with about 7.5 million undergraduates – enrollments </w:t>
      </w:r>
      <w:r w:rsidRPr="009A17E4">
        <w:rPr>
          <w:i/>
          <w:iCs/>
          <w:sz w:val="24"/>
          <w:szCs w:val="24"/>
        </w:rPr>
        <w:t>grew</w:t>
      </w:r>
      <w:r w:rsidRPr="00096CB6">
        <w:rPr>
          <w:sz w:val="24"/>
          <w:szCs w:val="24"/>
        </w:rPr>
        <w:t xml:space="preserve"> substantially between 2010 and 2017. Total (all race) enrollment in the four-year public sector increased by 15% (nearly one million extra undergraduates) in this period, while </w:t>
      </w:r>
      <w:r>
        <w:rPr>
          <w:sz w:val="24"/>
          <w:szCs w:val="24"/>
        </w:rPr>
        <w:t>Black</w:t>
      </w:r>
      <w:r w:rsidRPr="00096CB6">
        <w:rPr>
          <w:sz w:val="24"/>
          <w:szCs w:val="24"/>
        </w:rPr>
        <w:t xml:space="preserve"> enrollments at public four-year colleges also increased but not </w:t>
      </w:r>
      <w:r>
        <w:rPr>
          <w:sz w:val="24"/>
          <w:szCs w:val="24"/>
        </w:rPr>
        <w:t xml:space="preserve">by </w:t>
      </w:r>
      <w:r w:rsidRPr="00096CB6">
        <w:rPr>
          <w:sz w:val="24"/>
          <w:szCs w:val="24"/>
        </w:rPr>
        <w:t xml:space="preserve">as much (by 8%, or about 62,000 students). </w:t>
      </w:r>
    </w:p>
    <w:p w14:paraId="6A13A205" w14:textId="77777777" w:rsidR="001343C6" w:rsidRPr="00096CB6" w:rsidRDefault="001343C6" w:rsidP="001343C6">
      <w:pPr>
        <w:rPr>
          <w:sz w:val="24"/>
          <w:szCs w:val="24"/>
        </w:rPr>
      </w:pPr>
      <w:r>
        <w:rPr>
          <w:sz w:val="24"/>
          <w:szCs w:val="24"/>
        </w:rPr>
        <w:t>Over the same period</w:t>
      </w:r>
      <w:r w:rsidRPr="00096CB6">
        <w:rPr>
          <w:sz w:val="24"/>
          <w:szCs w:val="24"/>
        </w:rPr>
        <w:t xml:space="preserve">, enrollments dropped dramatically in the second largest sector of higher education: the two-year public colleges (community colleges). Their total enrollments shrank by 1.3 million students, about 19% of their 2010 enrollments. In proportional terms, the loss of </w:t>
      </w:r>
      <w:r>
        <w:rPr>
          <w:sz w:val="24"/>
          <w:szCs w:val="24"/>
        </w:rPr>
        <w:t>Black</w:t>
      </w:r>
      <w:r w:rsidRPr="00096CB6">
        <w:rPr>
          <w:sz w:val="24"/>
          <w:szCs w:val="24"/>
        </w:rPr>
        <w:t xml:space="preserve"> enrollment from community colleges was even larger: a 24% reduction.</w:t>
      </w:r>
    </w:p>
    <w:p w14:paraId="0E3B7A41" w14:textId="77777777" w:rsidR="001343C6" w:rsidRPr="00096CB6" w:rsidRDefault="001343C6" w:rsidP="001343C6">
      <w:pPr>
        <w:rPr>
          <w:sz w:val="24"/>
          <w:szCs w:val="24"/>
        </w:rPr>
      </w:pPr>
      <w:r w:rsidRPr="00096CB6">
        <w:rPr>
          <w:sz w:val="24"/>
          <w:szCs w:val="24"/>
        </w:rPr>
        <w:t xml:space="preserve">Other smaller sectors experienced even more drastic shifts in enrollment during those seven years. The for-profit two-year sector has faced </w:t>
      </w:r>
      <w:r>
        <w:rPr>
          <w:sz w:val="24"/>
          <w:szCs w:val="24"/>
        </w:rPr>
        <w:t xml:space="preserve">a huge </w:t>
      </w:r>
      <w:r w:rsidRPr="00096CB6">
        <w:rPr>
          <w:sz w:val="24"/>
          <w:szCs w:val="24"/>
        </w:rPr>
        <w:t xml:space="preserve">enrollment </w:t>
      </w:r>
      <w:r>
        <w:rPr>
          <w:sz w:val="24"/>
          <w:szCs w:val="24"/>
        </w:rPr>
        <w:t>reduction</w:t>
      </w:r>
      <w:r w:rsidRPr="00096CB6">
        <w:rPr>
          <w:sz w:val="24"/>
          <w:szCs w:val="24"/>
        </w:rPr>
        <w:t xml:space="preserve"> of 39%, and the for-profit four-year colleges have similarly lost 16% of their enrollment. </w:t>
      </w:r>
    </w:p>
    <w:p w14:paraId="2E4C15C0" w14:textId="0FD063C6" w:rsidR="001343C6" w:rsidRDefault="001343C6">
      <w:pPr>
        <w:rPr>
          <w:sz w:val="24"/>
          <w:szCs w:val="24"/>
        </w:rPr>
        <w:sectPr w:rsidR="001343C6">
          <w:footerReference w:type="default" r:id="rId12"/>
          <w:pgSz w:w="12240" w:h="15840"/>
          <w:pgMar w:top="1440" w:right="1440" w:bottom="1440" w:left="1440" w:header="720" w:footer="720" w:gutter="0"/>
          <w:cols w:space="720"/>
          <w:docGrid w:linePitch="360"/>
        </w:sectPr>
      </w:pPr>
    </w:p>
    <w:p w14:paraId="46DD6B68" w14:textId="31D06F38" w:rsidR="003E3341" w:rsidRPr="00B551F3" w:rsidRDefault="003E3341" w:rsidP="003E3341">
      <w:pPr>
        <w:jc w:val="center"/>
      </w:pPr>
      <w:r>
        <w:rPr>
          <w:noProof/>
        </w:rPr>
        <w:lastRenderedPageBreak/>
        <w:drawing>
          <wp:anchor distT="0" distB="0" distL="114300" distR="114300" simplePos="0" relativeHeight="251658240" behindDoc="0" locked="0" layoutInCell="1" allowOverlap="1" wp14:anchorId="17318913" wp14:editId="3BA19897">
            <wp:simplePos x="914400" y="914400"/>
            <wp:positionH relativeFrom="margin">
              <wp:align>center</wp:align>
            </wp:positionH>
            <wp:positionV relativeFrom="margin">
              <wp:align>center</wp:align>
            </wp:positionV>
            <wp:extent cx="8800316" cy="4333875"/>
            <wp:effectExtent l="0" t="0" r="1270" b="0"/>
            <wp:wrapSquare wrapText="bothSides"/>
            <wp:docPr id="3" name="Picture 3" descr="C:\Users\sneylon\AppData\Local\Microsoft\Windows\INetCache\Content.MSO\D00177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ylon\AppData\Local\Microsoft\Windows\INetCache\Content.MSO\D001770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0316" cy="4333875"/>
                    </a:xfrm>
                    <a:prstGeom prst="rect">
                      <a:avLst/>
                    </a:prstGeom>
                    <a:noFill/>
                    <a:ln>
                      <a:noFill/>
                    </a:ln>
                  </pic:spPr>
                </pic:pic>
              </a:graphicData>
            </a:graphic>
          </wp:anchor>
        </w:drawing>
      </w:r>
      <w:r>
        <w:rPr>
          <w:sz w:val="24"/>
          <w:szCs w:val="24"/>
        </w:rPr>
        <w:tab/>
      </w:r>
      <w:r w:rsidRPr="5CC2FCAC">
        <w:rPr>
          <w:rFonts w:ascii="Calibri" w:eastAsia="Calibri" w:hAnsi="Calibri" w:cs="Calibri"/>
          <w:sz w:val="28"/>
          <w:szCs w:val="28"/>
        </w:rPr>
        <w:t xml:space="preserve">Table </w:t>
      </w:r>
      <w:r w:rsidR="7F78403C" w:rsidRPr="5CC2FCAC">
        <w:rPr>
          <w:rFonts w:ascii="Calibri" w:eastAsia="Calibri" w:hAnsi="Calibri" w:cs="Calibri"/>
          <w:sz w:val="28"/>
          <w:szCs w:val="28"/>
        </w:rPr>
        <w:t>One</w:t>
      </w:r>
      <w:r w:rsidRPr="5CC2FCAC">
        <w:rPr>
          <w:rFonts w:ascii="Calibri" w:eastAsia="Calibri" w:hAnsi="Calibri" w:cs="Calibri"/>
          <w:sz w:val="28"/>
          <w:szCs w:val="28"/>
        </w:rPr>
        <w:t>.</w:t>
      </w:r>
    </w:p>
    <w:p w14:paraId="54597236" w14:textId="2DA24FD5" w:rsidR="003E3341" w:rsidRDefault="003E3341" w:rsidP="003E3341">
      <w:pPr>
        <w:tabs>
          <w:tab w:val="center" w:pos="6480"/>
        </w:tabs>
        <w:rPr>
          <w:sz w:val="24"/>
          <w:szCs w:val="24"/>
        </w:rPr>
        <w:sectPr w:rsidR="003E3341" w:rsidSect="003E3341">
          <w:pgSz w:w="15840" w:h="12240" w:orient="landscape"/>
          <w:pgMar w:top="1440" w:right="1440" w:bottom="1440" w:left="1440" w:header="720" w:footer="720" w:gutter="0"/>
          <w:cols w:space="720"/>
          <w:docGrid w:linePitch="360"/>
        </w:sectPr>
      </w:pPr>
    </w:p>
    <w:p w14:paraId="7F2628BE" w14:textId="1A0B661F" w:rsidR="00105CE8" w:rsidRDefault="00105CE8">
      <w:pPr>
        <w:rPr>
          <w:sz w:val="24"/>
          <w:szCs w:val="24"/>
        </w:rPr>
      </w:pPr>
      <w:r w:rsidRPr="002207B6">
        <w:rPr>
          <w:noProof/>
        </w:rPr>
        <w:lastRenderedPageBreak/>
        <w:drawing>
          <wp:anchor distT="0" distB="0" distL="114300" distR="114300" simplePos="0" relativeHeight="251659264" behindDoc="0" locked="0" layoutInCell="1" allowOverlap="1" wp14:anchorId="749A3738" wp14:editId="7EF9ABD3">
            <wp:simplePos x="914400" y="914400"/>
            <wp:positionH relativeFrom="margin">
              <wp:align>center</wp:align>
            </wp:positionH>
            <wp:positionV relativeFrom="margin">
              <wp:align>center</wp:align>
            </wp:positionV>
            <wp:extent cx="9037969" cy="4438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37969" cy="4438650"/>
                    </a:xfrm>
                    <a:prstGeom prst="rect">
                      <a:avLst/>
                    </a:prstGeom>
                    <a:noFill/>
                    <a:ln>
                      <a:noFill/>
                    </a:ln>
                  </pic:spPr>
                </pic:pic>
              </a:graphicData>
            </a:graphic>
          </wp:anchor>
        </w:drawing>
      </w:r>
    </w:p>
    <w:p w14:paraId="43534C20" w14:textId="4A127DCB" w:rsidR="00105CE8" w:rsidRPr="00B551F3" w:rsidRDefault="00105CE8" w:rsidP="00105CE8">
      <w:pPr>
        <w:jc w:val="center"/>
      </w:pPr>
      <w:r w:rsidRPr="5CC2FCAC">
        <w:rPr>
          <w:rFonts w:ascii="Calibri" w:eastAsia="Calibri" w:hAnsi="Calibri" w:cs="Calibri"/>
          <w:sz w:val="28"/>
          <w:szCs w:val="28"/>
        </w:rPr>
        <w:t xml:space="preserve">Table </w:t>
      </w:r>
      <w:r>
        <w:rPr>
          <w:rFonts w:ascii="Calibri" w:eastAsia="Calibri" w:hAnsi="Calibri" w:cs="Calibri"/>
          <w:sz w:val="28"/>
          <w:szCs w:val="28"/>
        </w:rPr>
        <w:t>Two</w:t>
      </w:r>
      <w:r w:rsidRPr="5CC2FCAC">
        <w:rPr>
          <w:rFonts w:ascii="Calibri" w:eastAsia="Calibri" w:hAnsi="Calibri" w:cs="Calibri"/>
          <w:sz w:val="28"/>
          <w:szCs w:val="28"/>
        </w:rPr>
        <w:t>.</w:t>
      </w:r>
    </w:p>
    <w:p w14:paraId="425969BC" w14:textId="0149D320" w:rsidR="00105CE8" w:rsidRDefault="00105CE8" w:rsidP="00105CE8">
      <w:pPr>
        <w:jc w:val="center"/>
        <w:rPr>
          <w:sz w:val="24"/>
          <w:szCs w:val="24"/>
        </w:rPr>
      </w:pPr>
    </w:p>
    <w:p w14:paraId="0835135F" w14:textId="7734E572" w:rsidR="00105CE8" w:rsidRPr="00105CE8" w:rsidRDefault="00105CE8" w:rsidP="00105CE8">
      <w:pPr>
        <w:tabs>
          <w:tab w:val="center" w:pos="6480"/>
        </w:tabs>
        <w:rPr>
          <w:sz w:val="24"/>
          <w:szCs w:val="24"/>
        </w:rPr>
        <w:sectPr w:rsidR="00105CE8" w:rsidRPr="00105CE8" w:rsidSect="00105CE8">
          <w:pgSz w:w="15840" w:h="12240" w:orient="landscape"/>
          <w:pgMar w:top="1440" w:right="1440" w:bottom="1440" w:left="1440" w:header="720" w:footer="720" w:gutter="0"/>
          <w:cols w:space="720"/>
          <w:docGrid w:linePitch="360"/>
        </w:sectPr>
      </w:pPr>
      <w:r>
        <w:rPr>
          <w:sz w:val="24"/>
          <w:szCs w:val="24"/>
        </w:rPr>
        <w:tab/>
      </w:r>
    </w:p>
    <w:p w14:paraId="2A54973E" w14:textId="17287720" w:rsidR="000D5FC4" w:rsidRPr="00096CB6" w:rsidRDefault="000D5FC4">
      <w:pPr>
        <w:rPr>
          <w:sz w:val="24"/>
          <w:szCs w:val="24"/>
        </w:rPr>
      </w:pPr>
      <w:r w:rsidRPr="00096CB6">
        <w:rPr>
          <w:sz w:val="24"/>
          <w:szCs w:val="24"/>
        </w:rPr>
        <w:lastRenderedPageBreak/>
        <w:t xml:space="preserve">In sum, </w:t>
      </w:r>
      <w:r w:rsidR="00BA4F75">
        <w:rPr>
          <w:sz w:val="24"/>
          <w:szCs w:val="24"/>
        </w:rPr>
        <w:t>Black</w:t>
      </w:r>
      <w:r w:rsidRPr="00096CB6">
        <w:rPr>
          <w:sz w:val="24"/>
          <w:szCs w:val="24"/>
        </w:rPr>
        <w:t xml:space="preserve"> undergraduate enrollment has dropped overall: roughly 202,000 fewer </w:t>
      </w:r>
      <w:r w:rsidR="00BA4F75">
        <w:rPr>
          <w:sz w:val="24"/>
          <w:szCs w:val="24"/>
        </w:rPr>
        <w:t>Black</w:t>
      </w:r>
      <w:r w:rsidRPr="00096CB6">
        <w:rPr>
          <w:sz w:val="24"/>
          <w:szCs w:val="24"/>
        </w:rPr>
        <w:t xml:space="preserve"> undergraduates were in college in 2017 compared to 2010. But among the generation who </w:t>
      </w:r>
      <w:r w:rsidR="00FE5671" w:rsidRPr="00096CB6">
        <w:rPr>
          <w:sz w:val="24"/>
          <w:szCs w:val="24"/>
        </w:rPr>
        <w:t xml:space="preserve">did </w:t>
      </w:r>
      <w:r w:rsidRPr="00096CB6">
        <w:rPr>
          <w:sz w:val="24"/>
          <w:szCs w:val="24"/>
        </w:rPr>
        <w:t>attend</w:t>
      </w:r>
      <w:r w:rsidR="00FE5671" w:rsidRPr="00096CB6">
        <w:rPr>
          <w:sz w:val="24"/>
          <w:szCs w:val="24"/>
        </w:rPr>
        <w:t xml:space="preserve"> college </w:t>
      </w:r>
      <w:r w:rsidRPr="00096CB6">
        <w:rPr>
          <w:sz w:val="24"/>
          <w:szCs w:val="24"/>
        </w:rPr>
        <w:t xml:space="preserve">in 2017, there has been a </w:t>
      </w:r>
      <w:r w:rsidR="000938CB" w:rsidRPr="00096CB6">
        <w:rPr>
          <w:sz w:val="24"/>
          <w:szCs w:val="24"/>
        </w:rPr>
        <w:t xml:space="preserve">modest </w:t>
      </w:r>
      <w:r w:rsidRPr="00096CB6">
        <w:rPr>
          <w:sz w:val="24"/>
          <w:szCs w:val="24"/>
        </w:rPr>
        <w:t>shift towards four-year colleges</w:t>
      </w:r>
      <w:r w:rsidR="000938CB" w:rsidRPr="00096CB6">
        <w:rPr>
          <w:sz w:val="24"/>
          <w:szCs w:val="24"/>
        </w:rPr>
        <w:t xml:space="preserve"> (about 8% more </w:t>
      </w:r>
      <w:r w:rsidR="00BA4F75">
        <w:rPr>
          <w:sz w:val="24"/>
          <w:szCs w:val="24"/>
        </w:rPr>
        <w:t>Black</w:t>
      </w:r>
      <w:r w:rsidR="000938CB" w:rsidRPr="00096CB6">
        <w:rPr>
          <w:sz w:val="24"/>
          <w:szCs w:val="24"/>
        </w:rPr>
        <w:t xml:space="preserve"> students)</w:t>
      </w:r>
      <w:r w:rsidRPr="00096CB6">
        <w:rPr>
          <w:sz w:val="24"/>
          <w:szCs w:val="24"/>
        </w:rPr>
        <w:t xml:space="preserve">, </w:t>
      </w:r>
      <w:r w:rsidR="000711C8" w:rsidRPr="00096CB6">
        <w:rPr>
          <w:sz w:val="24"/>
          <w:szCs w:val="24"/>
        </w:rPr>
        <w:t xml:space="preserve">in </w:t>
      </w:r>
      <w:r w:rsidRPr="00096CB6">
        <w:rPr>
          <w:sz w:val="24"/>
          <w:szCs w:val="24"/>
        </w:rPr>
        <w:t>both public and non-profit</w:t>
      </w:r>
      <w:r w:rsidR="000711C8" w:rsidRPr="00096CB6">
        <w:rPr>
          <w:sz w:val="24"/>
          <w:szCs w:val="24"/>
        </w:rPr>
        <w:t xml:space="preserve"> baccalaureate institutions</w:t>
      </w:r>
      <w:r w:rsidR="00FE5671" w:rsidRPr="00096CB6">
        <w:rPr>
          <w:sz w:val="24"/>
          <w:szCs w:val="24"/>
        </w:rPr>
        <w:t>, compared to the earlier cohort in 2010.</w:t>
      </w:r>
    </w:p>
    <w:p w14:paraId="5A581977" w14:textId="2A578D13" w:rsidR="00FE5671" w:rsidRDefault="009A17E4">
      <w:pPr>
        <w:rPr>
          <w:sz w:val="24"/>
          <w:szCs w:val="24"/>
        </w:rPr>
      </w:pPr>
      <w:r>
        <w:rPr>
          <w:sz w:val="24"/>
          <w:szCs w:val="24"/>
        </w:rPr>
        <w:t>These numbers</w:t>
      </w:r>
      <w:r w:rsidR="00FE5671" w:rsidRPr="00096CB6">
        <w:rPr>
          <w:sz w:val="24"/>
          <w:szCs w:val="24"/>
        </w:rPr>
        <w:t xml:space="preserve"> do not imply that individual students </w:t>
      </w:r>
      <w:r w:rsidR="00C431AA" w:rsidRPr="00096CB6">
        <w:rPr>
          <w:sz w:val="24"/>
          <w:szCs w:val="24"/>
        </w:rPr>
        <w:t>have left</w:t>
      </w:r>
      <w:r w:rsidR="00FE5671" w:rsidRPr="00096CB6">
        <w:rPr>
          <w:sz w:val="24"/>
          <w:szCs w:val="24"/>
        </w:rPr>
        <w:t xml:space="preserve"> certain types of institutions and </w:t>
      </w:r>
      <w:r w:rsidR="00F931A0" w:rsidRPr="00096CB6">
        <w:rPr>
          <w:sz w:val="24"/>
          <w:szCs w:val="24"/>
        </w:rPr>
        <w:t xml:space="preserve">have </w:t>
      </w:r>
      <w:r w:rsidR="00895E2E" w:rsidRPr="00096CB6">
        <w:rPr>
          <w:sz w:val="24"/>
          <w:szCs w:val="24"/>
        </w:rPr>
        <w:t xml:space="preserve">enrolled in </w:t>
      </w:r>
      <w:r w:rsidR="00FE5671" w:rsidRPr="00096CB6">
        <w:rPr>
          <w:sz w:val="24"/>
          <w:szCs w:val="24"/>
        </w:rPr>
        <w:t xml:space="preserve">others instead. The </w:t>
      </w:r>
      <w:r w:rsidR="00F931A0" w:rsidRPr="00096CB6">
        <w:rPr>
          <w:sz w:val="24"/>
          <w:szCs w:val="24"/>
        </w:rPr>
        <w:t xml:space="preserve">enrollment </w:t>
      </w:r>
      <w:r w:rsidR="00FE5671" w:rsidRPr="00096CB6">
        <w:rPr>
          <w:sz w:val="24"/>
          <w:szCs w:val="24"/>
        </w:rPr>
        <w:t xml:space="preserve">numbers refer to two different time periods. A better way to think about these figures is that </w:t>
      </w:r>
      <w:r w:rsidR="007A12A1">
        <w:rPr>
          <w:sz w:val="24"/>
          <w:szCs w:val="24"/>
        </w:rPr>
        <w:t xml:space="preserve">in 2017 </w:t>
      </w:r>
      <w:r w:rsidR="00FE5671" w:rsidRPr="00096CB6">
        <w:rPr>
          <w:sz w:val="24"/>
          <w:szCs w:val="24"/>
        </w:rPr>
        <w:t>fewer people are going to college overall than was the case in 2010, and that the kinds of colleges where</w:t>
      </w:r>
      <w:r w:rsidR="001D45BA" w:rsidRPr="00096CB6">
        <w:rPr>
          <w:sz w:val="24"/>
          <w:szCs w:val="24"/>
        </w:rPr>
        <w:t xml:space="preserve"> </w:t>
      </w:r>
      <w:r w:rsidR="00FE5671" w:rsidRPr="00096CB6">
        <w:rPr>
          <w:sz w:val="24"/>
          <w:szCs w:val="24"/>
        </w:rPr>
        <w:t xml:space="preserve">the current generation </w:t>
      </w:r>
      <w:r w:rsidR="00895E2E" w:rsidRPr="00096CB6">
        <w:rPr>
          <w:sz w:val="24"/>
          <w:szCs w:val="24"/>
        </w:rPr>
        <w:t xml:space="preserve">is enrolled </w:t>
      </w:r>
      <w:r w:rsidR="00FE5671" w:rsidRPr="00096CB6">
        <w:rPr>
          <w:sz w:val="24"/>
          <w:szCs w:val="24"/>
        </w:rPr>
        <w:t xml:space="preserve">differ from those </w:t>
      </w:r>
      <w:r w:rsidR="00464E2B" w:rsidRPr="00096CB6">
        <w:rPr>
          <w:sz w:val="24"/>
          <w:szCs w:val="24"/>
        </w:rPr>
        <w:t xml:space="preserve">that </w:t>
      </w:r>
      <w:r w:rsidR="00FE5671" w:rsidRPr="00096CB6">
        <w:rPr>
          <w:sz w:val="24"/>
          <w:szCs w:val="24"/>
        </w:rPr>
        <w:t>their counterparts (older sisters and brothers</w:t>
      </w:r>
      <w:r w:rsidR="00895E2E" w:rsidRPr="00096CB6">
        <w:rPr>
          <w:sz w:val="24"/>
          <w:szCs w:val="24"/>
        </w:rPr>
        <w:t>, perhaps</w:t>
      </w:r>
      <w:r w:rsidR="00FE5671" w:rsidRPr="00096CB6">
        <w:rPr>
          <w:sz w:val="24"/>
          <w:szCs w:val="24"/>
        </w:rPr>
        <w:t>) attended in 2010.</w:t>
      </w:r>
    </w:p>
    <w:p w14:paraId="5EE1956B" w14:textId="542836D6" w:rsidR="00947E6C" w:rsidRPr="00096CB6" w:rsidRDefault="00947E6C">
      <w:pPr>
        <w:rPr>
          <w:sz w:val="24"/>
          <w:szCs w:val="24"/>
        </w:rPr>
      </w:pPr>
      <w:r w:rsidRPr="00096CB6">
        <w:rPr>
          <w:sz w:val="24"/>
          <w:szCs w:val="24"/>
        </w:rPr>
        <w:t>There is a gender</w:t>
      </w:r>
      <w:r w:rsidR="00895E2E" w:rsidRPr="00096CB6">
        <w:rPr>
          <w:sz w:val="24"/>
          <w:szCs w:val="24"/>
        </w:rPr>
        <w:t>ed</w:t>
      </w:r>
      <w:r w:rsidRPr="00096CB6">
        <w:rPr>
          <w:sz w:val="24"/>
          <w:szCs w:val="24"/>
        </w:rPr>
        <w:t xml:space="preserve"> aspect to </w:t>
      </w:r>
      <w:r w:rsidR="00895E2E" w:rsidRPr="00096CB6">
        <w:rPr>
          <w:sz w:val="24"/>
          <w:szCs w:val="24"/>
        </w:rPr>
        <w:t xml:space="preserve">some of </w:t>
      </w:r>
      <w:r w:rsidRPr="00096CB6">
        <w:rPr>
          <w:sz w:val="24"/>
          <w:szCs w:val="24"/>
        </w:rPr>
        <w:t xml:space="preserve">these changes. The </w:t>
      </w:r>
      <w:r w:rsidR="00895E2E" w:rsidRPr="00096CB6">
        <w:rPr>
          <w:sz w:val="24"/>
          <w:szCs w:val="24"/>
        </w:rPr>
        <w:t xml:space="preserve">enrollment </w:t>
      </w:r>
      <w:r w:rsidR="000B347F" w:rsidRPr="00096CB6">
        <w:rPr>
          <w:sz w:val="24"/>
          <w:szCs w:val="24"/>
        </w:rPr>
        <w:t xml:space="preserve">drops </w:t>
      </w:r>
      <w:r w:rsidR="00895E2E" w:rsidRPr="00096CB6">
        <w:rPr>
          <w:sz w:val="24"/>
          <w:szCs w:val="24"/>
        </w:rPr>
        <w:t>at t</w:t>
      </w:r>
      <w:r w:rsidR="000B347F" w:rsidRPr="00096CB6">
        <w:rPr>
          <w:sz w:val="24"/>
          <w:szCs w:val="24"/>
        </w:rPr>
        <w:t>wo</w:t>
      </w:r>
      <w:r w:rsidR="00895E2E" w:rsidRPr="00096CB6">
        <w:rPr>
          <w:sz w:val="24"/>
          <w:szCs w:val="24"/>
        </w:rPr>
        <w:t xml:space="preserve">-year </w:t>
      </w:r>
      <w:r w:rsidR="00FE5671" w:rsidRPr="00096CB6">
        <w:rPr>
          <w:sz w:val="24"/>
          <w:szCs w:val="24"/>
        </w:rPr>
        <w:t>for-profit colleges</w:t>
      </w:r>
      <w:r w:rsidR="00895E2E" w:rsidRPr="00096CB6">
        <w:rPr>
          <w:sz w:val="24"/>
          <w:szCs w:val="24"/>
        </w:rPr>
        <w:t xml:space="preserve"> between 2010 and 2017 were dis</w:t>
      </w:r>
      <w:r w:rsidR="000B347F" w:rsidRPr="00096CB6">
        <w:rPr>
          <w:sz w:val="24"/>
          <w:szCs w:val="24"/>
        </w:rPr>
        <w:t xml:space="preserve">proportionately </w:t>
      </w:r>
      <w:r w:rsidR="009A17E4">
        <w:rPr>
          <w:sz w:val="24"/>
          <w:szCs w:val="24"/>
        </w:rPr>
        <w:t xml:space="preserve">among </w:t>
      </w:r>
      <w:r w:rsidR="00BA4F75">
        <w:rPr>
          <w:sz w:val="24"/>
          <w:szCs w:val="24"/>
        </w:rPr>
        <w:t>Black</w:t>
      </w:r>
      <w:r w:rsidR="000B347F" w:rsidRPr="00096CB6">
        <w:rPr>
          <w:sz w:val="24"/>
          <w:szCs w:val="24"/>
        </w:rPr>
        <w:t xml:space="preserve"> men, compared to </w:t>
      </w:r>
      <w:r w:rsidR="00BA4F75">
        <w:rPr>
          <w:sz w:val="24"/>
          <w:szCs w:val="24"/>
        </w:rPr>
        <w:t>Black</w:t>
      </w:r>
      <w:r w:rsidR="000B347F" w:rsidRPr="00096CB6">
        <w:rPr>
          <w:sz w:val="24"/>
          <w:szCs w:val="24"/>
        </w:rPr>
        <w:t xml:space="preserve"> women, although both have markedly lower numbers in those institutions compared to 2010. </w:t>
      </w:r>
    </w:p>
    <w:p w14:paraId="027EEB17" w14:textId="3358709B" w:rsidR="00705386" w:rsidRDefault="00F931A0">
      <w:pPr>
        <w:rPr>
          <w:sz w:val="24"/>
          <w:szCs w:val="24"/>
        </w:rPr>
      </w:pPr>
      <w:r w:rsidRPr="00096CB6">
        <w:rPr>
          <w:sz w:val="24"/>
          <w:szCs w:val="24"/>
        </w:rPr>
        <w:t>We had wondered whether the decline in college enrollments might vary across the age spectrum, but that seems not to be the case. Overall, enrollments in four</w:t>
      </w:r>
      <w:r w:rsidR="00984FCC" w:rsidRPr="00096CB6">
        <w:rPr>
          <w:sz w:val="24"/>
          <w:szCs w:val="24"/>
        </w:rPr>
        <w:t>-</w:t>
      </w:r>
      <w:r w:rsidRPr="00096CB6">
        <w:rPr>
          <w:sz w:val="24"/>
          <w:szCs w:val="24"/>
        </w:rPr>
        <w:t>year colleges are up and those in two-year colleges are down</w:t>
      </w:r>
      <w:r w:rsidR="006A2B94" w:rsidRPr="00096CB6">
        <w:rPr>
          <w:sz w:val="24"/>
          <w:szCs w:val="24"/>
        </w:rPr>
        <w:t xml:space="preserve"> </w:t>
      </w:r>
      <w:r w:rsidR="00367B8F">
        <w:rPr>
          <w:sz w:val="24"/>
          <w:szCs w:val="24"/>
        </w:rPr>
        <w:t xml:space="preserve">for all age groups </w:t>
      </w:r>
      <w:r w:rsidR="006A2B94" w:rsidRPr="00096CB6">
        <w:rPr>
          <w:sz w:val="24"/>
          <w:szCs w:val="24"/>
        </w:rPr>
        <w:t>since 2011. The only unusual pattern is that in both the two</w:t>
      </w:r>
      <w:r w:rsidR="00984FCC" w:rsidRPr="00096CB6">
        <w:rPr>
          <w:sz w:val="24"/>
          <w:szCs w:val="24"/>
        </w:rPr>
        <w:t>-</w:t>
      </w:r>
      <w:r w:rsidR="006A2B94" w:rsidRPr="00096CB6">
        <w:rPr>
          <w:sz w:val="24"/>
          <w:szCs w:val="24"/>
        </w:rPr>
        <w:t>year and the four-year sectors there has been a substantial uptick in the numbers of students who are younger than 18. In the four</w:t>
      </w:r>
      <w:r w:rsidR="003C6DAA">
        <w:rPr>
          <w:sz w:val="24"/>
          <w:szCs w:val="24"/>
        </w:rPr>
        <w:t>-</w:t>
      </w:r>
      <w:r w:rsidR="006A2B94" w:rsidRPr="00096CB6">
        <w:rPr>
          <w:sz w:val="24"/>
          <w:szCs w:val="24"/>
        </w:rPr>
        <w:t>year sector, under</w:t>
      </w:r>
      <w:r w:rsidR="0093558D" w:rsidRPr="00096CB6">
        <w:rPr>
          <w:sz w:val="24"/>
          <w:szCs w:val="24"/>
        </w:rPr>
        <w:t>-</w:t>
      </w:r>
      <w:r w:rsidR="006A2B94" w:rsidRPr="00096CB6">
        <w:rPr>
          <w:sz w:val="24"/>
          <w:szCs w:val="24"/>
        </w:rPr>
        <w:t>eighteens have jumped from 493,665 to 753,688, while in the two-year sector, which has been shrinking overall, the numbers of under</w:t>
      </w:r>
      <w:r w:rsidR="00143E99">
        <w:rPr>
          <w:sz w:val="24"/>
          <w:szCs w:val="24"/>
        </w:rPr>
        <w:t>-</w:t>
      </w:r>
      <w:r w:rsidR="006A2B94" w:rsidRPr="00096CB6">
        <w:rPr>
          <w:sz w:val="24"/>
          <w:szCs w:val="24"/>
        </w:rPr>
        <w:t xml:space="preserve">eighteen year-olds have </w:t>
      </w:r>
      <w:r w:rsidR="0093558D" w:rsidRPr="00096CB6">
        <w:rPr>
          <w:sz w:val="24"/>
          <w:szCs w:val="24"/>
        </w:rPr>
        <w:t xml:space="preserve">also </w:t>
      </w:r>
      <w:r w:rsidR="006A2B94" w:rsidRPr="00096CB6">
        <w:rPr>
          <w:sz w:val="24"/>
          <w:szCs w:val="24"/>
        </w:rPr>
        <w:t>jumped</w:t>
      </w:r>
      <w:r w:rsidR="0093558D" w:rsidRPr="00096CB6">
        <w:rPr>
          <w:sz w:val="24"/>
          <w:szCs w:val="24"/>
        </w:rPr>
        <w:t>,</w:t>
      </w:r>
      <w:r w:rsidR="006A2B94" w:rsidRPr="00096CB6">
        <w:rPr>
          <w:sz w:val="24"/>
          <w:szCs w:val="24"/>
        </w:rPr>
        <w:t xml:space="preserve"> </w:t>
      </w:r>
      <w:r w:rsidR="00984FCC" w:rsidRPr="00096CB6">
        <w:rPr>
          <w:sz w:val="24"/>
          <w:szCs w:val="24"/>
        </w:rPr>
        <w:t>from</w:t>
      </w:r>
      <w:r w:rsidR="006A2B94" w:rsidRPr="00096CB6">
        <w:rPr>
          <w:sz w:val="24"/>
          <w:szCs w:val="24"/>
        </w:rPr>
        <w:t xml:space="preserve"> 293,112 to 480,321. These are large increases</w:t>
      </w:r>
      <w:r w:rsidR="0093558D" w:rsidRPr="00096CB6">
        <w:rPr>
          <w:sz w:val="24"/>
          <w:szCs w:val="24"/>
        </w:rPr>
        <w:t xml:space="preserve"> percentagewise</w:t>
      </w:r>
      <w:r w:rsidR="006A2B94" w:rsidRPr="00096CB6">
        <w:rPr>
          <w:sz w:val="24"/>
          <w:szCs w:val="24"/>
        </w:rPr>
        <w:t xml:space="preserve">, but </w:t>
      </w:r>
      <w:r w:rsidR="00134311" w:rsidRPr="00096CB6">
        <w:rPr>
          <w:sz w:val="24"/>
          <w:szCs w:val="24"/>
        </w:rPr>
        <w:t xml:space="preserve">since </w:t>
      </w:r>
      <w:r w:rsidR="006A2B94" w:rsidRPr="00096CB6">
        <w:rPr>
          <w:sz w:val="24"/>
          <w:szCs w:val="24"/>
        </w:rPr>
        <w:t xml:space="preserve">these young students </w:t>
      </w:r>
      <w:r w:rsidR="0093558D" w:rsidRPr="00096CB6">
        <w:rPr>
          <w:sz w:val="24"/>
          <w:szCs w:val="24"/>
        </w:rPr>
        <w:t xml:space="preserve">only </w:t>
      </w:r>
      <w:r w:rsidR="006A2B94" w:rsidRPr="00096CB6">
        <w:rPr>
          <w:sz w:val="24"/>
          <w:szCs w:val="24"/>
        </w:rPr>
        <w:t>constitute a very small p</w:t>
      </w:r>
      <w:r w:rsidR="00134311" w:rsidRPr="00096CB6">
        <w:rPr>
          <w:sz w:val="24"/>
          <w:szCs w:val="24"/>
        </w:rPr>
        <w:t>roportion</w:t>
      </w:r>
      <w:r w:rsidR="006A2B94" w:rsidRPr="00096CB6">
        <w:rPr>
          <w:sz w:val="24"/>
          <w:szCs w:val="24"/>
        </w:rPr>
        <w:t xml:space="preserve"> of undergraduate enrollment as a whole</w:t>
      </w:r>
      <w:r w:rsidR="00600D60" w:rsidRPr="00096CB6">
        <w:rPr>
          <w:sz w:val="24"/>
          <w:szCs w:val="24"/>
        </w:rPr>
        <w:t>,</w:t>
      </w:r>
      <w:r w:rsidR="00134311" w:rsidRPr="00096CB6">
        <w:rPr>
          <w:sz w:val="24"/>
          <w:szCs w:val="24"/>
        </w:rPr>
        <w:t xml:space="preserve"> they barely affect the larger picture</w:t>
      </w:r>
      <w:r w:rsidR="006A2B94" w:rsidRPr="00096CB6">
        <w:rPr>
          <w:sz w:val="24"/>
          <w:szCs w:val="24"/>
        </w:rPr>
        <w:t xml:space="preserve">. We suspect that the increase </w:t>
      </w:r>
      <w:r w:rsidR="00134311" w:rsidRPr="00096CB6">
        <w:rPr>
          <w:sz w:val="24"/>
          <w:szCs w:val="24"/>
        </w:rPr>
        <w:t>in under</w:t>
      </w:r>
      <w:r w:rsidR="00600D60" w:rsidRPr="00096CB6">
        <w:rPr>
          <w:sz w:val="24"/>
          <w:szCs w:val="24"/>
        </w:rPr>
        <w:t>-</w:t>
      </w:r>
      <w:r w:rsidR="00134311" w:rsidRPr="00096CB6">
        <w:rPr>
          <w:sz w:val="24"/>
          <w:szCs w:val="24"/>
        </w:rPr>
        <w:t xml:space="preserve">18s </w:t>
      </w:r>
      <w:r w:rsidR="006A2B94" w:rsidRPr="00096CB6">
        <w:rPr>
          <w:sz w:val="24"/>
          <w:szCs w:val="24"/>
        </w:rPr>
        <w:t xml:space="preserve">represents the growing popularity of “dual enrollment” – taking one or more college courses while still enrolled in high school. </w:t>
      </w:r>
      <w:r w:rsidR="00134311" w:rsidRPr="00096CB6">
        <w:rPr>
          <w:sz w:val="24"/>
          <w:szCs w:val="24"/>
        </w:rPr>
        <w:t>Unfortunately, t</w:t>
      </w:r>
      <w:r w:rsidR="006A2B94" w:rsidRPr="00096CB6">
        <w:rPr>
          <w:sz w:val="24"/>
          <w:szCs w:val="24"/>
        </w:rPr>
        <w:t>he IPEDS numbers don’t allow us to check on that possibility.</w:t>
      </w:r>
    </w:p>
    <w:p w14:paraId="20964F18" w14:textId="6E49B152" w:rsidR="003C6DAA" w:rsidRDefault="1CE0E3A3" w:rsidP="29124017">
      <w:pPr>
        <w:rPr>
          <w:sz w:val="24"/>
          <w:szCs w:val="24"/>
        </w:rPr>
      </w:pPr>
      <w:r w:rsidRPr="29124017">
        <w:rPr>
          <w:sz w:val="24"/>
          <w:szCs w:val="24"/>
        </w:rPr>
        <w:t xml:space="preserve">The right-hand side of Table </w:t>
      </w:r>
      <w:r w:rsidR="06D30DE4" w:rsidRPr="29124017">
        <w:rPr>
          <w:sz w:val="24"/>
          <w:szCs w:val="24"/>
        </w:rPr>
        <w:t>One</w:t>
      </w:r>
      <w:r w:rsidRPr="29124017">
        <w:rPr>
          <w:sz w:val="24"/>
          <w:szCs w:val="24"/>
        </w:rPr>
        <w:t xml:space="preserve"> provides a </w:t>
      </w:r>
      <w:r w:rsidR="07BA3947" w:rsidRPr="29124017">
        <w:rPr>
          <w:sz w:val="24"/>
          <w:szCs w:val="24"/>
        </w:rPr>
        <w:t xml:space="preserve">different </w:t>
      </w:r>
      <w:r w:rsidRPr="29124017">
        <w:rPr>
          <w:sz w:val="24"/>
          <w:szCs w:val="24"/>
        </w:rPr>
        <w:t>perspective on changing enrollments that is limited to incoming first-time students</w:t>
      </w:r>
      <w:r w:rsidR="07BA3947" w:rsidRPr="29124017">
        <w:rPr>
          <w:sz w:val="24"/>
          <w:szCs w:val="24"/>
        </w:rPr>
        <w:t>.</w:t>
      </w:r>
      <w:r w:rsidRPr="29124017">
        <w:rPr>
          <w:sz w:val="24"/>
          <w:szCs w:val="24"/>
        </w:rPr>
        <w:t xml:space="preserve"> It shows that the enrollment decline for first</w:t>
      </w:r>
      <w:r w:rsidR="69E998C0" w:rsidRPr="29124017">
        <w:rPr>
          <w:sz w:val="24"/>
          <w:szCs w:val="24"/>
        </w:rPr>
        <w:t>-</w:t>
      </w:r>
      <w:r w:rsidRPr="29124017">
        <w:rPr>
          <w:sz w:val="24"/>
          <w:szCs w:val="24"/>
        </w:rPr>
        <w:t xml:space="preserve">time students is even larger for than for students as a whole. There are </w:t>
      </w:r>
      <w:r w:rsidR="69E998C0" w:rsidRPr="29124017">
        <w:rPr>
          <w:sz w:val="24"/>
          <w:szCs w:val="24"/>
        </w:rPr>
        <w:t>a</w:t>
      </w:r>
      <w:r w:rsidRPr="29124017">
        <w:rPr>
          <w:sz w:val="24"/>
          <w:szCs w:val="24"/>
        </w:rPr>
        <w:t>gain large decreases in enrollments in the two</w:t>
      </w:r>
      <w:r w:rsidR="69E998C0" w:rsidRPr="29124017">
        <w:rPr>
          <w:sz w:val="24"/>
          <w:szCs w:val="24"/>
        </w:rPr>
        <w:t>-</w:t>
      </w:r>
      <w:r w:rsidRPr="29124017">
        <w:rPr>
          <w:sz w:val="24"/>
          <w:szCs w:val="24"/>
        </w:rPr>
        <w:t xml:space="preserve">year sector, and in for-profit colleges (both two and four year). One difference is that while total enrollment figures for </w:t>
      </w:r>
      <w:r w:rsidR="00A0294B">
        <w:rPr>
          <w:sz w:val="24"/>
          <w:szCs w:val="24"/>
        </w:rPr>
        <w:t>B</w:t>
      </w:r>
      <w:r w:rsidRPr="29124017">
        <w:rPr>
          <w:sz w:val="24"/>
          <w:szCs w:val="24"/>
        </w:rPr>
        <w:t>lack men at four</w:t>
      </w:r>
      <w:r w:rsidR="69E998C0" w:rsidRPr="29124017">
        <w:rPr>
          <w:sz w:val="24"/>
          <w:szCs w:val="24"/>
        </w:rPr>
        <w:t>-</w:t>
      </w:r>
      <w:r w:rsidRPr="29124017">
        <w:rPr>
          <w:sz w:val="24"/>
          <w:szCs w:val="24"/>
        </w:rPr>
        <w:t xml:space="preserve">year </w:t>
      </w:r>
      <w:r w:rsidR="69E998C0" w:rsidRPr="29124017">
        <w:rPr>
          <w:sz w:val="24"/>
          <w:szCs w:val="24"/>
        </w:rPr>
        <w:t xml:space="preserve">public </w:t>
      </w:r>
      <w:r w:rsidRPr="29124017">
        <w:rPr>
          <w:sz w:val="24"/>
          <w:szCs w:val="24"/>
        </w:rPr>
        <w:t xml:space="preserve">colleges </w:t>
      </w:r>
      <w:r w:rsidR="69E998C0" w:rsidRPr="29124017">
        <w:rPr>
          <w:sz w:val="24"/>
          <w:szCs w:val="24"/>
        </w:rPr>
        <w:t xml:space="preserve">have increased between 2010 and 2017, they have </w:t>
      </w:r>
      <w:r w:rsidR="69E998C0" w:rsidRPr="29124017">
        <w:rPr>
          <w:i/>
          <w:iCs/>
          <w:sz w:val="24"/>
          <w:szCs w:val="24"/>
        </w:rPr>
        <w:t>decreased</w:t>
      </w:r>
      <w:r w:rsidR="69E998C0" w:rsidRPr="29124017">
        <w:rPr>
          <w:sz w:val="24"/>
          <w:szCs w:val="24"/>
        </w:rPr>
        <w:t xml:space="preserve"> a little (by about 2%) for first time </w:t>
      </w:r>
      <w:r w:rsidR="00A0294B">
        <w:rPr>
          <w:sz w:val="24"/>
          <w:szCs w:val="24"/>
        </w:rPr>
        <w:t>B</w:t>
      </w:r>
      <w:r w:rsidR="69E998C0" w:rsidRPr="29124017">
        <w:rPr>
          <w:sz w:val="24"/>
          <w:szCs w:val="24"/>
        </w:rPr>
        <w:t xml:space="preserve">lack male students. The number of </w:t>
      </w:r>
      <w:r w:rsidR="00A0294B">
        <w:rPr>
          <w:sz w:val="24"/>
          <w:szCs w:val="24"/>
        </w:rPr>
        <w:t>B</w:t>
      </w:r>
      <w:r w:rsidR="69E998C0" w:rsidRPr="29124017">
        <w:rPr>
          <w:sz w:val="24"/>
          <w:szCs w:val="24"/>
        </w:rPr>
        <w:t xml:space="preserve">lack women </w:t>
      </w:r>
      <w:r w:rsidR="0009415E">
        <w:rPr>
          <w:sz w:val="24"/>
          <w:szCs w:val="24"/>
        </w:rPr>
        <w:t xml:space="preserve">first time </w:t>
      </w:r>
      <w:r w:rsidR="69E998C0" w:rsidRPr="29124017">
        <w:rPr>
          <w:sz w:val="24"/>
          <w:szCs w:val="24"/>
        </w:rPr>
        <w:t xml:space="preserve">students attending public four-year colleges has increased by about 1%. </w:t>
      </w:r>
    </w:p>
    <w:p w14:paraId="15AD3644" w14:textId="0514BE75" w:rsidR="006D5D0A" w:rsidRPr="00096CB6" w:rsidRDefault="1E0D04F3" w:rsidP="29124017">
      <w:pPr>
        <w:rPr>
          <w:sz w:val="24"/>
          <w:szCs w:val="24"/>
        </w:rPr>
      </w:pPr>
      <w:r w:rsidRPr="29124017">
        <w:rPr>
          <w:sz w:val="24"/>
          <w:szCs w:val="24"/>
        </w:rPr>
        <w:t>Table T</w:t>
      </w:r>
      <w:r w:rsidR="0DE86C8F" w:rsidRPr="29124017">
        <w:rPr>
          <w:sz w:val="24"/>
          <w:szCs w:val="24"/>
        </w:rPr>
        <w:t>wo</w:t>
      </w:r>
      <w:r w:rsidRPr="29124017">
        <w:rPr>
          <w:sz w:val="24"/>
          <w:szCs w:val="24"/>
        </w:rPr>
        <w:t xml:space="preserve"> presents similar data on enrollment changes between Fall 2010 and Fall 2017 in the number of Black men and women undergraduates at Historically Black Colleges and Universities (H</w:t>
      </w:r>
      <w:r w:rsidR="29B23AF1" w:rsidRPr="29124017">
        <w:rPr>
          <w:sz w:val="24"/>
          <w:szCs w:val="24"/>
        </w:rPr>
        <w:t>BC</w:t>
      </w:r>
      <w:r w:rsidRPr="29124017">
        <w:rPr>
          <w:sz w:val="24"/>
          <w:szCs w:val="24"/>
        </w:rPr>
        <w:t xml:space="preserve">Us). The overall enrollment shrinkage at the HBCUs was 24,195. The number of </w:t>
      </w:r>
      <w:r w:rsidR="0029187D">
        <w:rPr>
          <w:sz w:val="24"/>
          <w:szCs w:val="24"/>
        </w:rPr>
        <w:t>B</w:t>
      </w:r>
      <w:r w:rsidRPr="29124017">
        <w:rPr>
          <w:sz w:val="24"/>
          <w:szCs w:val="24"/>
        </w:rPr>
        <w:t xml:space="preserve">lack men </w:t>
      </w:r>
      <w:r w:rsidRPr="29124017">
        <w:rPr>
          <w:sz w:val="24"/>
          <w:szCs w:val="24"/>
        </w:rPr>
        <w:lastRenderedPageBreak/>
        <w:t xml:space="preserve">enrolled decreased by 18% between 2010 and 2017, and the number of </w:t>
      </w:r>
      <w:r w:rsidR="0029187D">
        <w:rPr>
          <w:sz w:val="24"/>
          <w:szCs w:val="24"/>
        </w:rPr>
        <w:t>B</w:t>
      </w:r>
      <w:r w:rsidRPr="29124017">
        <w:rPr>
          <w:sz w:val="24"/>
          <w:szCs w:val="24"/>
        </w:rPr>
        <w:t>lack women decreased by 12.7%. By 2017, Black</w:t>
      </w:r>
      <w:r w:rsidR="004A101A">
        <w:rPr>
          <w:sz w:val="24"/>
          <w:szCs w:val="24"/>
        </w:rPr>
        <w:t xml:space="preserve"> students</w:t>
      </w:r>
      <w:r w:rsidRPr="29124017">
        <w:rPr>
          <w:sz w:val="24"/>
          <w:szCs w:val="24"/>
        </w:rPr>
        <w:t xml:space="preserve"> constituted 80% of total enrollment at the HBCUs. </w:t>
      </w:r>
    </w:p>
    <w:p w14:paraId="40EB6704" w14:textId="2EC53570" w:rsidR="007F042A" w:rsidRPr="004A101A" w:rsidRDefault="00560878">
      <w:pPr>
        <w:rPr>
          <w:sz w:val="24"/>
          <w:szCs w:val="24"/>
        </w:rPr>
      </w:pPr>
      <w:r>
        <w:rPr>
          <w:sz w:val="24"/>
          <w:szCs w:val="24"/>
        </w:rPr>
        <w:t>In summary</w:t>
      </w:r>
      <w:r w:rsidR="0063180F" w:rsidRPr="0063180F">
        <w:rPr>
          <w:sz w:val="24"/>
          <w:szCs w:val="24"/>
        </w:rPr>
        <w:t xml:space="preserve">, </w:t>
      </w:r>
      <w:r w:rsidR="00156317">
        <w:rPr>
          <w:sz w:val="24"/>
          <w:szCs w:val="24"/>
        </w:rPr>
        <w:t>national</w:t>
      </w:r>
      <w:r>
        <w:rPr>
          <w:sz w:val="24"/>
          <w:szCs w:val="24"/>
        </w:rPr>
        <w:t xml:space="preserve"> </w:t>
      </w:r>
      <w:r w:rsidR="0063180F" w:rsidRPr="0063180F">
        <w:rPr>
          <w:sz w:val="24"/>
          <w:szCs w:val="24"/>
        </w:rPr>
        <w:t>enrollment da</w:t>
      </w:r>
      <w:r w:rsidR="00156317">
        <w:rPr>
          <w:sz w:val="24"/>
          <w:szCs w:val="24"/>
        </w:rPr>
        <w:t xml:space="preserve">ta </w:t>
      </w:r>
      <w:r w:rsidR="0063180F" w:rsidRPr="0063180F">
        <w:rPr>
          <w:sz w:val="24"/>
          <w:szCs w:val="24"/>
        </w:rPr>
        <w:t xml:space="preserve">show a substantial decrease </w:t>
      </w:r>
      <w:r w:rsidR="00156317">
        <w:rPr>
          <w:sz w:val="24"/>
          <w:szCs w:val="24"/>
        </w:rPr>
        <w:t xml:space="preserve">in the numbers of </w:t>
      </w:r>
      <w:r w:rsidR="00143E99">
        <w:rPr>
          <w:sz w:val="24"/>
          <w:szCs w:val="24"/>
        </w:rPr>
        <w:t>undergraduates</w:t>
      </w:r>
      <w:r w:rsidR="00156317">
        <w:rPr>
          <w:sz w:val="24"/>
          <w:szCs w:val="24"/>
        </w:rPr>
        <w:t xml:space="preserve"> </w:t>
      </w:r>
      <w:r w:rsidR="0063180F" w:rsidRPr="0063180F">
        <w:rPr>
          <w:sz w:val="24"/>
          <w:szCs w:val="24"/>
        </w:rPr>
        <w:t xml:space="preserve">between 2010 and 2017.  </w:t>
      </w:r>
      <w:r w:rsidR="0063180F">
        <w:rPr>
          <w:sz w:val="24"/>
          <w:szCs w:val="24"/>
        </w:rPr>
        <w:t xml:space="preserve">This decrease </w:t>
      </w:r>
      <w:r w:rsidR="00156317">
        <w:rPr>
          <w:sz w:val="24"/>
          <w:szCs w:val="24"/>
        </w:rPr>
        <w:t>has been</w:t>
      </w:r>
      <w:r w:rsidR="0063180F">
        <w:rPr>
          <w:sz w:val="24"/>
          <w:szCs w:val="24"/>
        </w:rPr>
        <w:t xml:space="preserve"> more dramatic among Black students than among undergraduates as a whole</w:t>
      </w:r>
      <w:r w:rsidR="00156317">
        <w:rPr>
          <w:sz w:val="24"/>
          <w:szCs w:val="24"/>
        </w:rPr>
        <w:t xml:space="preserve">, but is evident for both </w:t>
      </w:r>
      <w:r w:rsidR="00224709">
        <w:rPr>
          <w:sz w:val="24"/>
          <w:szCs w:val="24"/>
        </w:rPr>
        <w:t>B</w:t>
      </w:r>
      <w:r w:rsidR="00156317">
        <w:rPr>
          <w:sz w:val="24"/>
          <w:szCs w:val="24"/>
        </w:rPr>
        <w:t xml:space="preserve">lack and non-Hispanic </w:t>
      </w:r>
      <w:r w:rsidR="009929AE">
        <w:rPr>
          <w:sz w:val="24"/>
          <w:szCs w:val="24"/>
        </w:rPr>
        <w:t>White</w:t>
      </w:r>
      <w:r w:rsidR="00156317">
        <w:rPr>
          <w:sz w:val="24"/>
          <w:szCs w:val="24"/>
        </w:rPr>
        <w:t xml:space="preserve"> undergraduates. </w:t>
      </w:r>
      <w:r w:rsidR="004A101A">
        <w:rPr>
          <w:sz w:val="24"/>
          <w:szCs w:val="24"/>
        </w:rPr>
        <w:t>The e</w:t>
      </w:r>
      <w:r w:rsidR="00156317">
        <w:rPr>
          <w:sz w:val="24"/>
          <w:szCs w:val="24"/>
        </w:rPr>
        <w:t xml:space="preserve">nrollment </w:t>
      </w:r>
      <w:r>
        <w:rPr>
          <w:sz w:val="24"/>
          <w:szCs w:val="24"/>
        </w:rPr>
        <w:t xml:space="preserve">decline </w:t>
      </w:r>
      <w:r w:rsidR="00156317">
        <w:rPr>
          <w:sz w:val="24"/>
          <w:szCs w:val="24"/>
        </w:rPr>
        <w:t xml:space="preserve">has been </w:t>
      </w:r>
      <w:r>
        <w:rPr>
          <w:sz w:val="24"/>
          <w:szCs w:val="24"/>
        </w:rPr>
        <w:t>greatest</w:t>
      </w:r>
      <w:r w:rsidR="00156317">
        <w:rPr>
          <w:sz w:val="24"/>
          <w:szCs w:val="24"/>
        </w:rPr>
        <w:t xml:space="preserve"> in the two-year sector</w:t>
      </w:r>
      <w:r w:rsidR="00143E99">
        <w:rPr>
          <w:sz w:val="24"/>
          <w:szCs w:val="24"/>
        </w:rPr>
        <w:t>,</w:t>
      </w:r>
      <w:r w:rsidR="00156317">
        <w:rPr>
          <w:sz w:val="24"/>
          <w:szCs w:val="24"/>
        </w:rPr>
        <w:t xml:space="preserve"> where both public community colleges and the for-profit two-year colleges have experienced large drops in </w:t>
      </w:r>
      <w:r w:rsidR="004A101A">
        <w:rPr>
          <w:sz w:val="24"/>
          <w:szCs w:val="24"/>
        </w:rPr>
        <w:t>B</w:t>
      </w:r>
      <w:r w:rsidR="00156317">
        <w:rPr>
          <w:sz w:val="24"/>
          <w:szCs w:val="24"/>
        </w:rPr>
        <w:t>lack enrollment. In contrast, there has been enrollment growth in these years at the four-year colleges, including growth in numbers of Black students at those institutions, although in percentage terms Black growth at four-year colleges has not been as strong as for other racial groups. Looking at first-time undergraduates separately, the picture also shows strong declines in two</w:t>
      </w:r>
      <w:r w:rsidR="00CD25E7">
        <w:rPr>
          <w:sz w:val="24"/>
          <w:szCs w:val="24"/>
        </w:rPr>
        <w:t>-</w:t>
      </w:r>
      <w:r w:rsidR="00156317">
        <w:rPr>
          <w:sz w:val="24"/>
          <w:szCs w:val="24"/>
        </w:rPr>
        <w:t xml:space="preserve">year enrollments between 2010 and 2017, but </w:t>
      </w:r>
      <w:r w:rsidR="00CD25E7">
        <w:rPr>
          <w:sz w:val="24"/>
          <w:szCs w:val="24"/>
        </w:rPr>
        <w:t xml:space="preserve">a </w:t>
      </w:r>
      <w:r w:rsidR="00156317">
        <w:rPr>
          <w:sz w:val="24"/>
          <w:szCs w:val="24"/>
        </w:rPr>
        <w:t>decline</w:t>
      </w:r>
      <w:r w:rsidR="00CD25E7">
        <w:rPr>
          <w:sz w:val="24"/>
          <w:szCs w:val="24"/>
        </w:rPr>
        <w:t xml:space="preserve"> of almost 7%</w:t>
      </w:r>
      <w:r w:rsidR="00156317">
        <w:rPr>
          <w:sz w:val="24"/>
          <w:szCs w:val="24"/>
        </w:rPr>
        <w:t xml:space="preserve"> in the numbers of Black first-time undergraduates entering </w:t>
      </w:r>
      <w:r w:rsidR="00CD25E7">
        <w:rPr>
          <w:sz w:val="24"/>
          <w:szCs w:val="24"/>
        </w:rPr>
        <w:t>four-year institutions.</w:t>
      </w:r>
    </w:p>
    <w:p w14:paraId="2522D9E4" w14:textId="36CAC6E1" w:rsidR="00CD25E7" w:rsidRDefault="00CD25E7">
      <w:pPr>
        <w:rPr>
          <w:b/>
          <w:bCs/>
          <w:sz w:val="24"/>
          <w:szCs w:val="24"/>
        </w:rPr>
      </w:pPr>
      <w:r w:rsidRPr="00CD25E7">
        <w:rPr>
          <w:b/>
          <w:bCs/>
          <w:sz w:val="24"/>
          <w:szCs w:val="24"/>
        </w:rPr>
        <w:t>Discussion</w:t>
      </w:r>
      <w:r w:rsidR="001343C6">
        <w:rPr>
          <w:b/>
          <w:bCs/>
          <w:sz w:val="24"/>
          <w:szCs w:val="24"/>
        </w:rPr>
        <w:t xml:space="preserve"> &amp; Conclusion</w:t>
      </w:r>
      <w:r w:rsidRPr="00CD25E7">
        <w:rPr>
          <w:b/>
          <w:bCs/>
          <w:sz w:val="24"/>
          <w:szCs w:val="24"/>
        </w:rPr>
        <w:t>.</w:t>
      </w:r>
    </w:p>
    <w:p w14:paraId="2C32C8BE" w14:textId="180ED6FD" w:rsidR="00254476" w:rsidRDefault="00CD25E7">
      <w:pPr>
        <w:rPr>
          <w:sz w:val="24"/>
          <w:szCs w:val="24"/>
        </w:rPr>
      </w:pPr>
      <w:r>
        <w:rPr>
          <w:sz w:val="24"/>
          <w:szCs w:val="24"/>
        </w:rPr>
        <w:t>For half a century t</w:t>
      </w:r>
      <w:r w:rsidRPr="00CD25E7">
        <w:rPr>
          <w:sz w:val="24"/>
          <w:szCs w:val="24"/>
        </w:rPr>
        <w:t>he economic progress</w:t>
      </w:r>
      <w:r>
        <w:rPr>
          <w:sz w:val="24"/>
          <w:szCs w:val="24"/>
        </w:rPr>
        <w:t xml:space="preserve"> of Black Americans has been </w:t>
      </w:r>
      <w:r w:rsidR="00254476">
        <w:rPr>
          <w:sz w:val="24"/>
          <w:szCs w:val="24"/>
        </w:rPr>
        <w:t xml:space="preserve">closely </w:t>
      </w:r>
      <w:r>
        <w:rPr>
          <w:sz w:val="24"/>
          <w:szCs w:val="24"/>
        </w:rPr>
        <w:t>tied to improvements in educational opportunity, and especially</w:t>
      </w:r>
      <w:r w:rsidR="0045772A">
        <w:rPr>
          <w:sz w:val="24"/>
          <w:szCs w:val="24"/>
        </w:rPr>
        <w:t xml:space="preserve"> </w:t>
      </w:r>
      <w:r>
        <w:rPr>
          <w:sz w:val="24"/>
          <w:szCs w:val="24"/>
        </w:rPr>
        <w:t>in access to higher education. College</w:t>
      </w:r>
      <w:r w:rsidR="00254476">
        <w:rPr>
          <w:sz w:val="24"/>
          <w:szCs w:val="24"/>
        </w:rPr>
        <w:t>-</w:t>
      </w:r>
      <w:r>
        <w:rPr>
          <w:sz w:val="24"/>
          <w:szCs w:val="24"/>
        </w:rPr>
        <w:t xml:space="preserve">going has been central to the growth of the Black middle class. For that reason, government data that indicate </w:t>
      </w:r>
      <w:r w:rsidR="00254476">
        <w:rPr>
          <w:sz w:val="24"/>
          <w:szCs w:val="24"/>
        </w:rPr>
        <w:t xml:space="preserve">recent </w:t>
      </w:r>
      <w:r>
        <w:rPr>
          <w:sz w:val="24"/>
          <w:szCs w:val="24"/>
        </w:rPr>
        <w:t>declines in the numbers and percent</w:t>
      </w:r>
      <w:r w:rsidR="00254476">
        <w:rPr>
          <w:sz w:val="24"/>
          <w:szCs w:val="24"/>
        </w:rPr>
        <w:t>age</w:t>
      </w:r>
      <w:r>
        <w:rPr>
          <w:sz w:val="24"/>
          <w:szCs w:val="24"/>
        </w:rPr>
        <w:t xml:space="preserve"> of Black youth enrolling in higher education ha</w:t>
      </w:r>
      <w:r w:rsidR="00691416">
        <w:rPr>
          <w:sz w:val="24"/>
          <w:szCs w:val="24"/>
        </w:rPr>
        <w:t>ve</w:t>
      </w:r>
      <w:r>
        <w:rPr>
          <w:sz w:val="24"/>
          <w:szCs w:val="24"/>
        </w:rPr>
        <w:t xml:space="preserve"> sounded alarms among community members</w:t>
      </w:r>
      <w:r w:rsidR="00691416">
        <w:rPr>
          <w:sz w:val="24"/>
          <w:szCs w:val="24"/>
        </w:rPr>
        <w:t>,</w:t>
      </w:r>
      <w:r>
        <w:rPr>
          <w:sz w:val="24"/>
          <w:szCs w:val="24"/>
        </w:rPr>
        <w:t xml:space="preserve"> educators</w:t>
      </w:r>
      <w:r w:rsidR="00691416">
        <w:rPr>
          <w:sz w:val="24"/>
          <w:szCs w:val="24"/>
        </w:rPr>
        <w:t>, and researchers</w:t>
      </w:r>
      <w:r>
        <w:rPr>
          <w:sz w:val="24"/>
          <w:szCs w:val="24"/>
        </w:rPr>
        <w:t>.</w:t>
      </w:r>
      <w:r w:rsidR="00254476">
        <w:rPr>
          <w:sz w:val="24"/>
          <w:szCs w:val="24"/>
        </w:rPr>
        <w:t xml:space="preserve"> </w:t>
      </w:r>
      <w:r>
        <w:rPr>
          <w:sz w:val="24"/>
          <w:szCs w:val="24"/>
        </w:rPr>
        <w:t xml:space="preserve">Undergraduate enrollments have dropped by 7% among Black men and by nearly 10% among Black women over the last seven years. </w:t>
      </w:r>
      <w:r w:rsidR="00254476">
        <w:rPr>
          <w:sz w:val="24"/>
          <w:szCs w:val="24"/>
        </w:rPr>
        <w:t xml:space="preserve">This does not seem to be a temporary aberration; on the contrary the trend has intensified over the last seven years. </w:t>
      </w:r>
    </w:p>
    <w:p w14:paraId="221E70D7" w14:textId="12AC7313" w:rsidR="00CD25E7" w:rsidRDefault="00CD25E7">
      <w:pPr>
        <w:rPr>
          <w:sz w:val="24"/>
          <w:szCs w:val="24"/>
        </w:rPr>
      </w:pPr>
      <w:r>
        <w:rPr>
          <w:sz w:val="24"/>
          <w:szCs w:val="24"/>
        </w:rPr>
        <w:t>Only a small part of this trend can be attributed to population changes reflecting Black birth rates.</w:t>
      </w:r>
      <w:r>
        <w:t xml:space="preserve"> </w:t>
      </w:r>
      <w:r w:rsidR="00691416">
        <w:rPr>
          <w:sz w:val="24"/>
          <w:szCs w:val="24"/>
        </w:rPr>
        <w:t>Nor is t</w:t>
      </w:r>
      <w:r>
        <w:rPr>
          <w:sz w:val="24"/>
          <w:szCs w:val="24"/>
        </w:rPr>
        <w:t xml:space="preserve">he </w:t>
      </w:r>
      <w:r w:rsidR="00254476">
        <w:rPr>
          <w:sz w:val="24"/>
          <w:szCs w:val="24"/>
        </w:rPr>
        <w:t xml:space="preserve">source </w:t>
      </w:r>
      <w:r>
        <w:rPr>
          <w:sz w:val="24"/>
          <w:szCs w:val="24"/>
        </w:rPr>
        <w:t>of th</w:t>
      </w:r>
      <w:r w:rsidR="00254476">
        <w:rPr>
          <w:sz w:val="24"/>
          <w:szCs w:val="24"/>
        </w:rPr>
        <w:t>is</w:t>
      </w:r>
      <w:r>
        <w:rPr>
          <w:sz w:val="24"/>
          <w:szCs w:val="24"/>
        </w:rPr>
        <w:t xml:space="preserve"> shortfall </w:t>
      </w:r>
      <w:r w:rsidR="00254476">
        <w:rPr>
          <w:sz w:val="24"/>
          <w:szCs w:val="24"/>
        </w:rPr>
        <w:t>to be found in the k-12 schooling system</w:t>
      </w:r>
      <w:r w:rsidR="0009415E">
        <w:rPr>
          <w:sz w:val="24"/>
          <w:szCs w:val="24"/>
        </w:rPr>
        <w:t>. O</w:t>
      </w:r>
      <w:r w:rsidR="00254476">
        <w:rPr>
          <w:sz w:val="24"/>
          <w:szCs w:val="24"/>
        </w:rPr>
        <w:t xml:space="preserve">n the contrary, high school graduation rates have improved over this period. Instead, we have </w:t>
      </w:r>
      <w:r w:rsidR="00691416">
        <w:rPr>
          <w:sz w:val="24"/>
          <w:szCs w:val="24"/>
        </w:rPr>
        <w:t xml:space="preserve">documented </w:t>
      </w:r>
      <w:r w:rsidR="00254476">
        <w:rPr>
          <w:sz w:val="24"/>
          <w:szCs w:val="24"/>
        </w:rPr>
        <w:t xml:space="preserve">a marked decrease in the proportion of Black high school graduates who are going on to college immediately after high school, as well as shrinkages among </w:t>
      </w:r>
      <w:r w:rsidR="006E5B0D">
        <w:rPr>
          <w:sz w:val="24"/>
          <w:szCs w:val="24"/>
        </w:rPr>
        <w:t xml:space="preserve">the numbers of </w:t>
      </w:r>
      <w:r w:rsidR="00254476">
        <w:rPr>
          <w:sz w:val="24"/>
          <w:szCs w:val="24"/>
        </w:rPr>
        <w:t>already</w:t>
      </w:r>
      <w:r w:rsidR="006E5B0D">
        <w:rPr>
          <w:sz w:val="24"/>
          <w:szCs w:val="24"/>
        </w:rPr>
        <w:t>-</w:t>
      </w:r>
      <w:r w:rsidR="00254476">
        <w:rPr>
          <w:sz w:val="24"/>
          <w:szCs w:val="24"/>
        </w:rPr>
        <w:t xml:space="preserve">enrolled </w:t>
      </w:r>
      <w:r w:rsidR="006E5B0D">
        <w:rPr>
          <w:sz w:val="24"/>
          <w:szCs w:val="24"/>
        </w:rPr>
        <w:t xml:space="preserve">Black </w:t>
      </w:r>
      <w:r w:rsidR="00254476">
        <w:rPr>
          <w:sz w:val="24"/>
          <w:szCs w:val="24"/>
        </w:rPr>
        <w:t>undergraduates.</w:t>
      </w:r>
    </w:p>
    <w:p w14:paraId="53C36E9F" w14:textId="794380B8" w:rsidR="00254476" w:rsidRDefault="00254476">
      <w:pPr>
        <w:rPr>
          <w:sz w:val="24"/>
          <w:szCs w:val="24"/>
        </w:rPr>
      </w:pPr>
      <w:r>
        <w:rPr>
          <w:sz w:val="24"/>
          <w:szCs w:val="24"/>
        </w:rPr>
        <w:t>Some of this seems to be a response to improving employment prospects for Black youth</w:t>
      </w:r>
      <w:r w:rsidR="006E5B0D">
        <w:rPr>
          <w:sz w:val="24"/>
          <w:szCs w:val="24"/>
        </w:rPr>
        <w:t xml:space="preserve"> as the national economy has emerged from the long recession following 200</w:t>
      </w:r>
      <w:r w:rsidR="009A7EAD">
        <w:rPr>
          <w:sz w:val="24"/>
          <w:szCs w:val="24"/>
        </w:rPr>
        <w:t>7/</w:t>
      </w:r>
      <w:r w:rsidR="006E5B0D">
        <w:rPr>
          <w:sz w:val="24"/>
          <w:szCs w:val="24"/>
        </w:rPr>
        <w:t>8</w:t>
      </w:r>
      <w:r>
        <w:rPr>
          <w:sz w:val="24"/>
          <w:szCs w:val="24"/>
        </w:rPr>
        <w:t xml:space="preserve">. We can tell that the most economically-disadvantaged group among Black youth – those who did not graduate high school or </w:t>
      </w:r>
      <w:r w:rsidR="009A7EAD">
        <w:rPr>
          <w:sz w:val="24"/>
          <w:szCs w:val="24"/>
        </w:rPr>
        <w:t>f</w:t>
      </w:r>
      <w:r w:rsidR="00896570">
        <w:rPr>
          <w:sz w:val="24"/>
          <w:szCs w:val="24"/>
        </w:rPr>
        <w:t>i</w:t>
      </w:r>
      <w:r w:rsidR="009A7EAD">
        <w:rPr>
          <w:sz w:val="24"/>
          <w:szCs w:val="24"/>
        </w:rPr>
        <w:t>nd employment</w:t>
      </w:r>
      <w:r>
        <w:rPr>
          <w:sz w:val="24"/>
          <w:szCs w:val="24"/>
        </w:rPr>
        <w:t xml:space="preserve"> – has shrunk </w:t>
      </w:r>
      <w:r w:rsidR="00615F67">
        <w:rPr>
          <w:sz w:val="24"/>
          <w:szCs w:val="24"/>
        </w:rPr>
        <w:t xml:space="preserve">in size </w:t>
      </w:r>
      <w:r w:rsidR="006E5B0D">
        <w:rPr>
          <w:sz w:val="24"/>
          <w:szCs w:val="24"/>
        </w:rPr>
        <w:t>since 2010</w:t>
      </w:r>
      <w:r>
        <w:rPr>
          <w:sz w:val="24"/>
          <w:szCs w:val="24"/>
        </w:rPr>
        <w:t xml:space="preserve">. More of them are now employed. </w:t>
      </w:r>
      <w:r w:rsidR="00615F67">
        <w:rPr>
          <w:sz w:val="24"/>
          <w:szCs w:val="24"/>
        </w:rPr>
        <w:t>Similarly, f</w:t>
      </w:r>
      <w:r>
        <w:rPr>
          <w:sz w:val="24"/>
          <w:szCs w:val="24"/>
        </w:rPr>
        <w:t>ewer Black high school graduates are without work</w:t>
      </w:r>
      <w:r w:rsidR="006E5B0D">
        <w:rPr>
          <w:sz w:val="24"/>
          <w:szCs w:val="24"/>
        </w:rPr>
        <w:t xml:space="preserve"> today than in 2010. </w:t>
      </w:r>
      <w:r>
        <w:rPr>
          <w:sz w:val="24"/>
          <w:szCs w:val="24"/>
        </w:rPr>
        <w:t xml:space="preserve"> It therefore seems plausible that some of the decline in college enrollment is due to </w:t>
      </w:r>
      <w:r w:rsidR="00F47204">
        <w:rPr>
          <w:sz w:val="24"/>
          <w:szCs w:val="24"/>
        </w:rPr>
        <w:t xml:space="preserve">individuals who might </w:t>
      </w:r>
      <w:r w:rsidR="006E5B0D">
        <w:rPr>
          <w:sz w:val="24"/>
          <w:szCs w:val="24"/>
        </w:rPr>
        <w:t xml:space="preserve">otherwise </w:t>
      </w:r>
      <w:r w:rsidR="00F47204">
        <w:rPr>
          <w:sz w:val="24"/>
          <w:szCs w:val="24"/>
        </w:rPr>
        <w:t xml:space="preserve">have gone to college </w:t>
      </w:r>
      <w:r w:rsidR="00615F67">
        <w:rPr>
          <w:sz w:val="24"/>
          <w:szCs w:val="24"/>
        </w:rPr>
        <w:t>choosing</w:t>
      </w:r>
      <w:r w:rsidR="00F47204">
        <w:rPr>
          <w:sz w:val="24"/>
          <w:szCs w:val="24"/>
        </w:rPr>
        <w:t xml:space="preserve"> employment instead. </w:t>
      </w:r>
    </w:p>
    <w:p w14:paraId="3276962D" w14:textId="70945E32" w:rsidR="00F47204" w:rsidRDefault="00F47204">
      <w:pPr>
        <w:rPr>
          <w:sz w:val="24"/>
          <w:szCs w:val="24"/>
        </w:rPr>
      </w:pPr>
      <w:r>
        <w:rPr>
          <w:sz w:val="24"/>
          <w:szCs w:val="24"/>
        </w:rPr>
        <w:t xml:space="preserve">That inference is strengthened by data that show that the drops in college enrollments have been largest </w:t>
      </w:r>
      <w:r w:rsidR="006E5B0D">
        <w:rPr>
          <w:sz w:val="24"/>
          <w:szCs w:val="24"/>
        </w:rPr>
        <w:t>at</w:t>
      </w:r>
      <w:r>
        <w:rPr>
          <w:sz w:val="24"/>
          <w:szCs w:val="24"/>
        </w:rPr>
        <w:t xml:space="preserve"> public community colleges and </w:t>
      </w:r>
      <w:r w:rsidR="006E5B0D">
        <w:rPr>
          <w:sz w:val="24"/>
          <w:szCs w:val="24"/>
        </w:rPr>
        <w:t xml:space="preserve">most </w:t>
      </w:r>
      <w:r>
        <w:rPr>
          <w:sz w:val="24"/>
          <w:szCs w:val="24"/>
        </w:rPr>
        <w:t xml:space="preserve">especially in the for-profit </w:t>
      </w:r>
      <w:r w:rsidR="00FF4227">
        <w:rPr>
          <w:sz w:val="24"/>
          <w:szCs w:val="24"/>
        </w:rPr>
        <w:t xml:space="preserve">college </w:t>
      </w:r>
      <w:r>
        <w:rPr>
          <w:sz w:val="24"/>
          <w:szCs w:val="24"/>
        </w:rPr>
        <w:t xml:space="preserve">sector. To some extent, this decline in Black college-going may have a silver lining. If those who were </w:t>
      </w:r>
      <w:r>
        <w:rPr>
          <w:sz w:val="24"/>
          <w:szCs w:val="24"/>
        </w:rPr>
        <w:lastRenderedPageBreak/>
        <w:t xml:space="preserve">least likely to complete a credential are instead finding gainful employment immediately after high school, that may not be a bad thing. If college-bound </w:t>
      </w:r>
      <w:r w:rsidR="00916A88">
        <w:rPr>
          <w:sz w:val="24"/>
          <w:szCs w:val="24"/>
        </w:rPr>
        <w:t>Black</w:t>
      </w:r>
      <w:r w:rsidR="00415E74">
        <w:rPr>
          <w:sz w:val="24"/>
          <w:szCs w:val="24"/>
        </w:rPr>
        <w:t xml:space="preserve"> Americans</w:t>
      </w:r>
      <w:r w:rsidR="00615F67">
        <w:rPr>
          <w:sz w:val="24"/>
          <w:szCs w:val="24"/>
        </w:rPr>
        <w:t xml:space="preserve"> </w:t>
      </w:r>
      <w:r>
        <w:rPr>
          <w:sz w:val="24"/>
          <w:szCs w:val="24"/>
        </w:rPr>
        <w:t xml:space="preserve">are </w:t>
      </w:r>
      <w:r w:rsidR="0074503D">
        <w:rPr>
          <w:sz w:val="24"/>
          <w:szCs w:val="24"/>
        </w:rPr>
        <w:t xml:space="preserve">increasingly </w:t>
      </w:r>
      <w:r>
        <w:rPr>
          <w:sz w:val="24"/>
          <w:szCs w:val="24"/>
        </w:rPr>
        <w:t xml:space="preserve">gaining entry into four-year bachelors-granting colleges rather than entering two-year colleges that is </w:t>
      </w:r>
      <w:r w:rsidR="00615F67">
        <w:rPr>
          <w:sz w:val="24"/>
          <w:szCs w:val="24"/>
        </w:rPr>
        <w:t xml:space="preserve">also </w:t>
      </w:r>
      <w:r>
        <w:rPr>
          <w:sz w:val="24"/>
          <w:szCs w:val="24"/>
        </w:rPr>
        <w:t>probably a good thing: most will earn considerably more in the long run if they make it all the way to the bachelor’s degree.</w:t>
      </w:r>
    </w:p>
    <w:p w14:paraId="1FC38CE9" w14:textId="6F2A05D7" w:rsidR="00916A88" w:rsidRDefault="00BB1914">
      <w:pPr>
        <w:rPr>
          <w:sz w:val="24"/>
          <w:szCs w:val="24"/>
        </w:rPr>
      </w:pPr>
      <w:r>
        <w:rPr>
          <w:sz w:val="24"/>
          <w:szCs w:val="24"/>
        </w:rPr>
        <w:t xml:space="preserve">An unresolved question is whether </w:t>
      </w:r>
      <w:r w:rsidR="0074503D">
        <w:rPr>
          <w:sz w:val="24"/>
          <w:szCs w:val="24"/>
        </w:rPr>
        <w:t xml:space="preserve">those Black </w:t>
      </w:r>
      <w:r>
        <w:rPr>
          <w:sz w:val="24"/>
          <w:szCs w:val="24"/>
        </w:rPr>
        <w:t>youth</w:t>
      </w:r>
      <w:r w:rsidR="0074503D">
        <w:rPr>
          <w:sz w:val="24"/>
          <w:szCs w:val="24"/>
        </w:rPr>
        <w:t>s</w:t>
      </w:r>
      <w:r>
        <w:rPr>
          <w:sz w:val="24"/>
          <w:szCs w:val="24"/>
        </w:rPr>
        <w:t xml:space="preserve"> who choose to go directly into jobs after high school are helping or harming their long-term mobility prospects. If they do finally go to college after </w:t>
      </w:r>
      <w:r w:rsidR="00916A88">
        <w:rPr>
          <w:sz w:val="24"/>
          <w:szCs w:val="24"/>
        </w:rPr>
        <w:t xml:space="preserve">spending </w:t>
      </w:r>
      <w:r>
        <w:rPr>
          <w:sz w:val="24"/>
          <w:szCs w:val="24"/>
        </w:rPr>
        <w:t>a few years in the labor force, some evidence suggests that might not be bad for their long</w:t>
      </w:r>
      <w:r w:rsidR="00916A88">
        <w:rPr>
          <w:sz w:val="24"/>
          <w:szCs w:val="24"/>
        </w:rPr>
        <w:t>-</w:t>
      </w:r>
      <w:r>
        <w:rPr>
          <w:sz w:val="24"/>
          <w:szCs w:val="24"/>
        </w:rPr>
        <w:t>term mobility. We re</w:t>
      </w:r>
      <w:r w:rsidR="00916A88">
        <w:rPr>
          <w:sz w:val="24"/>
          <w:szCs w:val="24"/>
        </w:rPr>
        <w:t>-</w:t>
      </w:r>
      <w:r>
        <w:rPr>
          <w:sz w:val="24"/>
          <w:szCs w:val="24"/>
        </w:rPr>
        <w:t>analyzed national data on intergenerational mobility</w:t>
      </w:r>
      <w:r w:rsidR="00285CAD">
        <w:rPr>
          <w:sz w:val="24"/>
          <w:szCs w:val="24"/>
        </w:rPr>
        <w:t xml:space="preserve"> </w:t>
      </w:r>
      <w:r w:rsidR="00A512A7">
        <w:rPr>
          <w:sz w:val="24"/>
          <w:szCs w:val="24"/>
        </w:rPr>
        <w:t xml:space="preserve">from the Equality of Opportunity Project (Chetty et al 2017) </w:t>
      </w:r>
      <w:r w:rsidR="00285CAD">
        <w:rPr>
          <w:sz w:val="24"/>
          <w:szCs w:val="24"/>
        </w:rPr>
        <w:t xml:space="preserve">that tracked people born between 1980 and 1982 until </w:t>
      </w:r>
      <w:r w:rsidR="000B1F53">
        <w:rPr>
          <w:sz w:val="24"/>
          <w:szCs w:val="24"/>
        </w:rPr>
        <w:t xml:space="preserve">they were in </w:t>
      </w:r>
      <w:r w:rsidR="00285CAD">
        <w:rPr>
          <w:sz w:val="24"/>
          <w:szCs w:val="24"/>
        </w:rPr>
        <w:t>their early thirties. About 12% of those age cohorts delayed entry into college until they were between 23 and 29 years old. Many of those delayed students (27%) came from low-income families</w:t>
      </w:r>
      <w:r w:rsidR="00916A88">
        <w:rPr>
          <w:sz w:val="24"/>
          <w:szCs w:val="24"/>
        </w:rPr>
        <w:t xml:space="preserve">: </w:t>
      </w:r>
      <w:r w:rsidR="00285CAD">
        <w:rPr>
          <w:sz w:val="24"/>
          <w:szCs w:val="24"/>
        </w:rPr>
        <w:t xml:space="preserve">those with </w:t>
      </w:r>
      <w:r w:rsidR="0074503D">
        <w:rPr>
          <w:sz w:val="24"/>
          <w:szCs w:val="24"/>
        </w:rPr>
        <w:t xml:space="preserve">family </w:t>
      </w:r>
      <w:r w:rsidR="00285CAD">
        <w:rPr>
          <w:sz w:val="24"/>
          <w:szCs w:val="24"/>
        </w:rPr>
        <w:t xml:space="preserve">incomes in the bottom fifth of the national population. </w:t>
      </w:r>
      <w:r>
        <w:rPr>
          <w:sz w:val="24"/>
          <w:szCs w:val="24"/>
        </w:rPr>
        <w:t xml:space="preserve"> </w:t>
      </w:r>
      <w:r w:rsidR="00285CAD">
        <w:rPr>
          <w:sz w:val="24"/>
          <w:szCs w:val="24"/>
        </w:rPr>
        <w:t>Remarkably 39% of the delayed undergraduates from those low-income families had risen into the middle to top income quintiles by their early thirties. In other words, evidence from an earlier generation suggests that delaying entry to college until one</w:t>
      </w:r>
      <w:r w:rsidR="00916A88">
        <w:rPr>
          <w:sz w:val="24"/>
          <w:szCs w:val="24"/>
        </w:rPr>
        <w:t>’</w:t>
      </w:r>
      <w:r w:rsidR="00285CAD">
        <w:rPr>
          <w:sz w:val="24"/>
          <w:szCs w:val="24"/>
        </w:rPr>
        <w:t>s twenties does not necessarily harm social mobility</w:t>
      </w:r>
      <w:r w:rsidR="00916A88">
        <w:rPr>
          <w:sz w:val="24"/>
          <w:szCs w:val="24"/>
        </w:rPr>
        <w:t xml:space="preserve"> in the longer run</w:t>
      </w:r>
      <w:r w:rsidR="000B1F53">
        <w:rPr>
          <w:rStyle w:val="FootnoteReference"/>
          <w:sz w:val="24"/>
          <w:szCs w:val="24"/>
        </w:rPr>
        <w:footnoteReference w:id="8"/>
      </w:r>
      <w:r w:rsidR="00285CAD">
        <w:rPr>
          <w:sz w:val="24"/>
          <w:szCs w:val="24"/>
        </w:rPr>
        <w:t>.</w:t>
      </w:r>
      <w:r w:rsidR="009B2016">
        <w:rPr>
          <w:sz w:val="24"/>
          <w:szCs w:val="24"/>
        </w:rPr>
        <w:t xml:space="preserve"> If a similar</w:t>
      </w:r>
      <w:r w:rsidR="00916A88">
        <w:rPr>
          <w:sz w:val="24"/>
          <w:szCs w:val="24"/>
        </w:rPr>
        <w:t xml:space="preserve"> dynamic</w:t>
      </w:r>
      <w:r w:rsidR="009B2016">
        <w:rPr>
          <w:sz w:val="24"/>
          <w:szCs w:val="24"/>
        </w:rPr>
        <w:t xml:space="preserve"> occurs for the current cohorts of Black high school graduates who are not proceeding immediately to college, the</w:t>
      </w:r>
      <w:r w:rsidR="00916A88">
        <w:rPr>
          <w:sz w:val="24"/>
          <w:szCs w:val="24"/>
        </w:rPr>
        <w:t>n the</w:t>
      </w:r>
      <w:r w:rsidR="009B2016">
        <w:rPr>
          <w:sz w:val="24"/>
          <w:szCs w:val="24"/>
        </w:rPr>
        <w:t xml:space="preserve"> </w:t>
      </w:r>
      <w:r w:rsidR="00916A88">
        <w:rPr>
          <w:sz w:val="24"/>
          <w:szCs w:val="24"/>
        </w:rPr>
        <w:t xml:space="preserve">delay </w:t>
      </w:r>
      <w:r w:rsidR="009B2016">
        <w:rPr>
          <w:sz w:val="24"/>
          <w:szCs w:val="24"/>
        </w:rPr>
        <w:t>would not be a cause for alarm.</w:t>
      </w:r>
      <w:r w:rsidR="00916A88">
        <w:rPr>
          <w:sz w:val="24"/>
          <w:szCs w:val="24"/>
        </w:rPr>
        <w:t xml:space="preserve"> </w:t>
      </w:r>
    </w:p>
    <w:p w14:paraId="4199910D" w14:textId="41301E6D" w:rsidR="0022685D" w:rsidRDefault="00916A88">
      <w:pPr>
        <w:rPr>
          <w:sz w:val="24"/>
          <w:szCs w:val="24"/>
        </w:rPr>
      </w:pPr>
      <w:r>
        <w:rPr>
          <w:sz w:val="24"/>
          <w:szCs w:val="24"/>
        </w:rPr>
        <w:t>However, if the Black high school graduates who go into employment rather than college are not just delaying college but will never go to college, the consequences may be different. Again, our re-analyses of the data indicate that 30% of youth from low-income families who never went to college were able to rise to middle incomes by their thirties.</w:t>
      </w:r>
    </w:p>
    <w:p w14:paraId="2AC9B042" w14:textId="4762490D" w:rsidR="00F47204" w:rsidRDefault="0063681B">
      <w:pPr>
        <w:rPr>
          <w:sz w:val="24"/>
          <w:szCs w:val="24"/>
        </w:rPr>
      </w:pPr>
      <w:r>
        <w:rPr>
          <w:sz w:val="24"/>
          <w:szCs w:val="24"/>
        </w:rPr>
        <w:t>A few years will need to pass before r</w:t>
      </w:r>
      <w:r w:rsidR="000816A9">
        <w:rPr>
          <w:sz w:val="24"/>
          <w:szCs w:val="24"/>
        </w:rPr>
        <w:t>esearchers will be able to tell</w:t>
      </w:r>
      <w:r>
        <w:rPr>
          <w:sz w:val="24"/>
          <w:szCs w:val="24"/>
        </w:rPr>
        <w:t xml:space="preserve"> with greater certainty </w:t>
      </w:r>
      <w:r w:rsidR="000816A9">
        <w:rPr>
          <w:sz w:val="24"/>
          <w:szCs w:val="24"/>
        </w:rPr>
        <w:t xml:space="preserve">whether and how the current shift in Black college-going </w:t>
      </w:r>
      <w:r>
        <w:rPr>
          <w:sz w:val="24"/>
          <w:szCs w:val="24"/>
        </w:rPr>
        <w:t xml:space="preserve">has </w:t>
      </w:r>
      <w:r w:rsidR="000816A9">
        <w:rPr>
          <w:sz w:val="24"/>
          <w:szCs w:val="24"/>
        </w:rPr>
        <w:t>impacted long term social mobility</w:t>
      </w:r>
      <w:r w:rsidR="00FF4227">
        <w:rPr>
          <w:sz w:val="24"/>
          <w:szCs w:val="24"/>
        </w:rPr>
        <w:t xml:space="preserve"> in the Black community</w:t>
      </w:r>
      <w:r>
        <w:rPr>
          <w:sz w:val="24"/>
          <w:szCs w:val="24"/>
        </w:rPr>
        <w:t xml:space="preserve">. </w:t>
      </w:r>
      <w:r w:rsidR="005C1280">
        <w:rPr>
          <w:sz w:val="24"/>
          <w:szCs w:val="24"/>
        </w:rPr>
        <w:t>What seems c</w:t>
      </w:r>
      <w:r w:rsidR="00783D08">
        <w:rPr>
          <w:sz w:val="24"/>
          <w:szCs w:val="24"/>
        </w:rPr>
        <w:t>lear</w:t>
      </w:r>
      <w:r w:rsidR="005C1280">
        <w:rPr>
          <w:sz w:val="24"/>
          <w:szCs w:val="24"/>
        </w:rPr>
        <w:t xml:space="preserve"> at this point is that a sea change has been underway for most of the last decade in college going among Black Americans</w:t>
      </w:r>
      <w:r w:rsidR="00783D08">
        <w:rPr>
          <w:sz w:val="24"/>
          <w:szCs w:val="24"/>
        </w:rPr>
        <w:t xml:space="preserve">, </w:t>
      </w:r>
      <w:r w:rsidR="00BF1E0B">
        <w:rPr>
          <w:sz w:val="24"/>
          <w:szCs w:val="24"/>
        </w:rPr>
        <w:t>implying</w:t>
      </w:r>
      <w:r w:rsidR="00783D08">
        <w:rPr>
          <w:sz w:val="24"/>
          <w:szCs w:val="24"/>
        </w:rPr>
        <w:t xml:space="preserve"> that community leaders, policy makers and researchers should pay close attention to this change.</w:t>
      </w:r>
    </w:p>
    <w:p w14:paraId="76C834E4" w14:textId="6245C859" w:rsidR="00F47204" w:rsidRDefault="00F47204">
      <w:pPr>
        <w:rPr>
          <w:sz w:val="24"/>
          <w:szCs w:val="24"/>
        </w:rPr>
      </w:pPr>
    </w:p>
    <w:p w14:paraId="2A23DFD1" w14:textId="3D4E1477" w:rsidR="00916A88" w:rsidRDefault="00916A88">
      <w:pPr>
        <w:rPr>
          <w:sz w:val="24"/>
          <w:szCs w:val="24"/>
        </w:rPr>
      </w:pPr>
    </w:p>
    <w:p w14:paraId="7773F444" w14:textId="366EC925" w:rsidR="00916A88" w:rsidRDefault="00916A88">
      <w:pPr>
        <w:rPr>
          <w:sz w:val="24"/>
          <w:szCs w:val="24"/>
        </w:rPr>
      </w:pPr>
    </w:p>
    <w:p w14:paraId="6C8E7F23" w14:textId="77777777" w:rsidR="00475821" w:rsidRDefault="00475821" w:rsidP="00475821">
      <w:pPr>
        <w:rPr>
          <w:sz w:val="24"/>
          <w:szCs w:val="24"/>
        </w:rPr>
      </w:pPr>
    </w:p>
    <w:p w14:paraId="478BBD8B" w14:textId="2281E72D" w:rsidR="00705386" w:rsidRPr="009A7EAD" w:rsidRDefault="001B232A" w:rsidP="00475821">
      <w:pPr>
        <w:jc w:val="center"/>
        <w:rPr>
          <w:b/>
          <w:bCs/>
          <w:sz w:val="28"/>
          <w:szCs w:val="28"/>
        </w:rPr>
      </w:pPr>
      <w:r w:rsidRPr="009A7EAD">
        <w:rPr>
          <w:b/>
          <w:bCs/>
          <w:sz w:val="28"/>
          <w:szCs w:val="28"/>
        </w:rPr>
        <w:lastRenderedPageBreak/>
        <w:t>References</w:t>
      </w:r>
    </w:p>
    <w:p w14:paraId="28031029" w14:textId="188FAD2B" w:rsidR="00E06967" w:rsidRDefault="00E06967"/>
    <w:p w14:paraId="5AF30DE8" w14:textId="76D6C294" w:rsidR="00E06967" w:rsidRDefault="00E06967">
      <w:pPr>
        <w:rPr>
          <w:rFonts w:ascii="Times New Roman" w:hAnsi="Times New Roman" w:cs="Times New Roman"/>
        </w:rPr>
      </w:pPr>
      <w:r w:rsidRPr="00546E2A">
        <w:rPr>
          <w:rFonts w:ascii="Times New Roman" w:hAnsi="Times New Roman" w:cs="Times New Roman"/>
        </w:rPr>
        <w:t xml:space="preserve">Allen, Walter R. </w:t>
      </w:r>
      <w:r w:rsidR="00A85D5E">
        <w:rPr>
          <w:rFonts w:ascii="Times New Roman" w:hAnsi="Times New Roman" w:cs="Times New Roman"/>
        </w:rPr>
        <w:t xml:space="preserve">1992. </w:t>
      </w:r>
      <w:r w:rsidRPr="00546E2A">
        <w:rPr>
          <w:rFonts w:ascii="Times New Roman" w:hAnsi="Times New Roman" w:cs="Times New Roman"/>
        </w:rPr>
        <w:t xml:space="preserve">“The Color of Success: African-American College Student Outcomes at predominantly </w:t>
      </w:r>
      <w:r w:rsidR="009929AE">
        <w:rPr>
          <w:rFonts w:ascii="Times New Roman" w:hAnsi="Times New Roman" w:cs="Times New Roman"/>
        </w:rPr>
        <w:t>White</w:t>
      </w:r>
      <w:r w:rsidRPr="00546E2A">
        <w:rPr>
          <w:rFonts w:ascii="Times New Roman" w:hAnsi="Times New Roman" w:cs="Times New Roman"/>
        </w:rPr>
        <w:t xml:space="preserve"> and Historically Black Public Colleges and Universities. </w:t>
      </w:r>
      <w:r w:rsidRPr="00782476">
        <w:rPr>
          <w:rFonts w:ascii="Times New Roman" w:hAnsi="Times New Roman" w:cs="Times New Roman"/>
          <w:i/>
          <w:iCs/>
        </w:rPr>
        <w:t>Harvard Educational Review</w:t>
      </w:r>
      <w:r w:rsidRPr="00546E2A">
        <w:rPr>
          <w:rFonts w:ascii="Times New Roman" w:hAnsi="Times New Roman" w:cs="Times New Roman"/>
        </w:rPr>
        <w:t xml:space="preserve"> 62, No.1 (February 1992): 26-44.</w:t>
      </w:r>
    </w:p>
    <w:p w14:paraId="105AC19C" w14:textId="52C36259" w:rsidR="0032586B" w:rsidRPr="00546E2A" w:rsidRDefault="0032586B">
      <w:pPr>
        <w:rPr>
          <w:rFonts w:ascii="Times New Roman" w:hAnsi="Times New Roman" w:cs="Times New Roman"/>
        </w:rPr>
      </w:pPr>
      <w:r>
        <w:rPr>
          <w:rFonts w:ascii="Times New Roman" w:hAnsi="Times New Roman" w:cs="Times New Roman"/>
        </w:rPr>
        <w:t>Aries, Elizabeth. 2008. Race and Class Matters at an Elite College. Temple University Press.</w:t>
      </w:r>
    </w:p>
    <w:p w14:paraId="5A0E8FF6" w14:textId="0B6135FC" w:rsidR="00453F3B" w:rsidRDefault="00453F3B">
      <w:pPr>
        <w:rPr>
          <w:rFonts w:ascii="Times New Roman" w:hAnsi="Times New Roman"/>
          <w:szCs w:val="24"/>
        </w:rPr>
      </w:pPr>
      <w:r w:rsidRPr="00453F3B">
        <w:rPr>
          <w:rFonts w:ascii="Times New Roman" w:hAnsi="Times New Roman"/>
          <w:szCs w:val="24"/>
        </w:rPr>
        <w:t>Arcidiacono, Peter, Esteban M. Aucejo, and V. Joseph Hotz. 2016. "University Differences in the Graduation of Minorities in STEM Fields: Evidence from California." American Economic Review, 106 (3): 525-62.</w:t>
      </w:r>
    </w:p>
    <w:p w14:paraId="0230BDFA" w14:textId="13345787" w:rsidR="00E06967" w:rsidRDefault="00783755">
      <w:pPr>
        <w:rPr>
          <w:rFonts w:ascii="Times New Roman" w:hAnsi="Times New Roman"/>
          <w:szCs w:val="24"/>
        </w:rPr>
      </w:pPr>
      <w:r>
        <w:rPr>
          <w:rFonts w:ascii="Times New Roman" w:hAnsi="Times New Roman"/>
          <w:szCs w:val="24"/>
        </w:rPr>
        <w:t>Attewell, Paul, Scott Heil and Liza Reisel. 2011.</w:t>
      </w:r>
      <w:r w:rsidRPr="00580108">
        <w:rPr>
          <w:rFonts w:ascii="Times New Roman" w:hAnsi="Times New Roman"/>
          <w:szCs w:val="24"/>
        </w:rPr>
        <w:tab/>
        <w:t>“Competing Explanations of Undergraduate Non-Completion.”</w:t>
      </w:r>
      <w:r>
        <w:rPr>
          <w:rFonts w:ascii="Times New Roman" w:hAnsi="Times New Roman"/>
          <w:szCs w:val="24"/>
        </w:rPr>
        <w:t xml:space="preserve"> </w:t>
      </w:r>
      <w:r w:rsidRPr="00580108">
        <w:rPr>
          <w:rFonts w:ascii="Times New Roman" w:hAnsi="Times New Roman"/>
          <w:i/>
          <w:szCs w:val="24"/>
        </w:rPr>
        <w:t>American Education Research Journal</w:t>
      </w:r>
      <w:r w:rsidRPr="00580108">
        <w:rPr>
          <w:rFonts w:ascii="Times New Roman" w:hAnsi="Times New Roman"/>
          <w:szCs w:val="24"/>
        </w:rPr>
        <w:t xml:space="preserve"> (AERJ-SIA)</w:t>
      </w:r>
      <w:r>
        <w:rPr>
          <w:rFonts w:ascii="Times New Roman" w:hAnsi="Times New Roman"/>
          <w:szCs w:val="24"/>
        </w:rPr>
        <w:t xml:space="preserve"> </w:t>
      </w:r>
      <w:r w:rsidRPr="00580108">
        <w:rPr>
          <w:rFonts w:ascii="Times New Roman" w:hAnsi="Times New Roman"/>
          <w:szCs w:val="24"/>
        </w:rPr>
        <w:t xml:space="preserve">Volume 48 Issue 3 June 2011 pp. 536 </w:t>
      </w:r>
      <w:r>
        <w:rPr>
          <w:rFonts w:ascii="Times New Roman" w:hAnsi="Times New Roman"/>
          <w:szCs w:val="24"/>
        </w:rPr>
        <w:t>–</w:t>
      </w:r>
      <w:r w:rsidRPr="00580108">
        <w:rPr>
          <w:rFonts w:ascii="Times New Roman" w:hAnsi="Times New Roman"/>
          <w:szCs w:val="24"/>
        </w:rPr>
        <w:t xml:space="preserve"> 559</w:t>
      </w:r>
      <w:r>
        <w:rPr>
          <w:rFonts w:ascii="Times New Roman" w:hAnsi="Times New Roman"/>
          <w:szCs w:val="24"/>
        </w:rPr>
        <w:t>.</w:t>
      </w:r>
    </w:p>
    <w:p w14:paraId="544D6938" w14:textId="7A47300F" w:rsidR="5CC2FCAC" w:rsidRDefault="000E3943" w:rsidP="5CC2FCAC">
      <w:pPr>
        <w:rPr>
          <w:rFonts w:ascii="Times New Roman" w:hAnsi="Times New Roman"/>
        </w:rPr>
      </w:pPr>
      <w:r w:rsidRPr="5CC2FCAC">
        <w:rPr>
          <w:rFonts w:ascii="Times New Roman" w:hAnsi="Times New Roman"/>
        </w:rPr>
        <w:t xml:space="preserve">Braxton, John M. (ed.) 2000. </w:t>
      </w:r>
      <w:r w:rsidRPr="5CC2FCAC">
        <w:rPr>
          <w:rFonts w:ascii="Times New Roman" w:hAnsi="Times New Roman"/>
          <w:i/>
          <w:iCs/>
        </w:rPr>
        <w:t>Reworking the Student Departure Puzzle</w:t>
      </w:r>
      <w:r w:rsidRPr="5CC2FCAC">
        <w:rPr>
          <w:rFonts w:ascii="Times New Roman" w:hAnsi="Times New Roman"/>
        </w:rPr>
        <w:t>. Nashville TN: Vanderbilt University Press.</w:t>
      </w:r>
    </w:p>
    <w:p w14:paraId="180BA2EB" w14:textId="71ADF452" w:rsidR="00A9615D" w:rsidRDefault="00A9615D" w:rsidP="00A9615D">
      <w:pPr>
        <w:spacing w:after="0"/>
        <w:rPr>
          <w:rFonts w:ascii="Times New Roman" w:hAnsi="Times New Roman"/>
        </w:rPr>
      </w:pPr>
      <w:r>
        <w:rPr>
          <w:rFonts w:ascii="Times New Roman" w:hAnsi="Times New Roman"/>
        </w:rPr>
        <w:t>Bronson, Jennifer and E. Ann Carson. 2019. Prisoners in 2017. Washington DC: Bureau of Justice Statistics, US Department of Justice. Retrieved from:</w:t>
      </w:r>
    </w:p>
    <w:p w14:paraId="2BB52F04" w14:textId="00FDAF12" w:rsidR="00A9615D" w:rsidRDefault="00A9615D" w:rsidP="5CC2FCAC">
      <w:pPr>
        <w:rPr>
          <w:rFonts w:ascii="Times New Roman" w:hAnsi="Times New Roman"/>
          <w:szCs w:val="24"/>
        </w:rPr>
      </w:pPr>
      <w:hyperlink r:id="rId15" w:history="1">
        <w:r w:rsidRPr="006D62B5">
          <w:rPr>
            <w:rStyle w:val="Hyperlink"/>
            <w:rFonts w:ascii="Times New Roman" w:hAnsi="Times New Roman"/>
            <w:szCs w:val="24"/>
          </w:rPr>
          <w:t>http://www.bjs.gov/index.cfm?ty=p</w:t>
        </w:r>
        <w:r w:rsidRPr="006D62B5">
          <w:rPr>
            <w:rStyle w:val="Hyperlink"/>
            <w:rFonts w:ascii="Times New Roman" w:hAnsi="Times New Roman"/>
            <w:szCs w:val="24"/>
          </w:rPr>
          <w:t>b</w:t>
        </w:r>
        <w:r w:rsidRPr="006D62B5">
          <w:rPr>
            <w:rStyle w:val="Hyperlink"/>
            <w:rFonts w:ascii="Times New Roman" w:hAnsi="Times New Roman"/>
            <w:szCs w:val="24"/>
          </w:rPr>
          <w:t>detail&amp;iid=6546</w:t>
        </w:r>
      </w:hyperlink>
      <w:r>
        <w:rPr>
          <w:rFonts w:ascii="Times New Roman" w:hAnsi="Times New Roman"/>
          <w:szCs w:val="24"/>
        </w:rPr>
        <w:t xml:space="preserve"> </w:t>
      </w:r>
    </w:p>
    <w:p w14:paraId="2231B8E7" w14:textId="193CCD1B" w:rsidR="004E2B1A" w:rsidRPr="004E2B1A" w:rsidRDefault="004E2B1A" w:rsidP="5CC2FCAC">
      <w:pPr>
        <w:rPr>
          <w:rFonts w:ascii="Times New Roman" w:hAnsi="Times New Roman"/>
          <w:szCs w:val="24"/>
        </w:rPr>
      </w:pPr>
      <w:r w:rsidRPr="004E2B1A">
        <w:rPr>
          <w:rFonts w:ascii="Times New Roman" w:hAnsi="Times New Roman"/>
          <w:szCs w:val="24"/>
        </w:rPr>
        <w:t>Byrd, W. Carson. 2017. Poison in the Ivy: Race Relations and the Reproduction of Inequality on Elite College Campuses. The American Campus. New Brunswick, New Jersey: Rutgers University Press.</w:t>
      </w:r>
    </w:p>
    <w:p w14:paraId="4CD90A4C" w14:textId="65A720FB" w:rsidR="001B232A" w:rsidRPr="007B7E33" w:rsidRDefault="00D15D06" w:rsidP="007B7E33">
      <w:pPr>
        <w:rPr>
          <w:rFonts w:ascii="Times New Roman" w:hAnsi="Times New Roman"/>
          <w:szCs w:val="24"/>
        </w:rPr>
      </w:pPr>
      <w:r>
        <w:t xml:space="preserve">Cahalan, M., Perna, L. W., Yamashita, M., Wright-Kim, J. &amp; Jiang, N. (2019). </w:t>
      </w:r>
      <w:r w:rsidRPr="00D15D06">
        <w:rPr>
          <w:i/>
          <w:iCs/>
        </w:rPr>
        <w:t>2019 Indicators of Higher Education Equity in the United States: Historical Trend Report.</w:t>
      </w:r>
      <w:r>
        <w:t xml:space="preserve"> Washington, DC: The Pell Institute for the Study of Opportunity in Higher Education, Council for Opportunity in Education (COE), and Alliance for Higher Education and Democracy of the University of Pennsylvania (PennAHEAD).</w:t>
      </w:r>
    </w:p>
    <w:p w14:paraId="541B9C34" w14:textId="565F0313" w:rsidR="001B232A" w:rsidRDefault="001B232A" w:rsidP="001B232A">
      <w:pPr>
        <w:pStyle w:val="Default"/>
        <w:rPr>
          <w:sz w:val="22"/>
          <w:szCs w:val="22"/>
        </w:rPr>
      </w:pPr>
      <w:r>
        <w:rPr>
          <w:sz w:val="22"/>
          <w:szCs w:val="22"/>
        </w:rPr>
        <w:t xml:space="preserve">Chen, X., Elliott, B.G., Kinney, S.K., Cooney, D., Pretlow, J., Bryan, M., Wu, J., Ramirez, N.A., and Campbell, T. (2019). </w:t>
      </w:r>
      <w:r>
        <w:rPr>
          <w:i/>
          <w:iCs/>
          <w:sz w:val="22"/>
          <w:szCs w:val="22"/>
        </w:rPr>
        <w:t xml:space="preserve">Persistence, Retention, and Attainment of 2011–12 First-Time Beginning Postsecondary Students as of Spring 2017 </w:t>
      </w:r>
      <w:r>
        <w:rPr>
          <w:sz w:val="22"/>
          <w:szCs w:val="22"/>
        </w:rPr>
        <w:t>(First Look) (NCES 2019-401). U.S. Department of Education. Washington, DC: National Center for Education Statistics.</w:t>
      </w:r>
    </w:p>
    <w:p w14:paraId="1605E278" w14:textId="7ACDE504" w:rsidR="003131E2" w:rsidRDefault="003131E2" w:rsidP="001B232A">
      <w:pPr>
        <w:pStyle w:val="Default"/>
        <w:rPr>
          <w:sz w:val="22"/>
          <w:szCs w:val="22"/>
        </w:rPr>
      </w:pPr>
    </w:p>
    <w:p w14:paraId="47D7B8F9" w14:textId="2E5458DC" w:rsidR="003131E2" w:rsidRDefault="003131E2" w:rsidP="001B232A">
      <w:pPr>
        <w:pStyle w:val="Default"/>
        <w:rPr>
          <w:sz w:val="22"/>
          <w:szCs w:val="22"/>
        </w:rPr>
      </w:pPr>
      <w:r>
        <w:rPr>
          <w:sz w:val="22"/>
          <w:szCs w:val="22"/>
        </w:rPr>
        <w:t xml:space="preserve">Chetty  </w:t>
      </w:r>
      <w:r>
        <w:t xml:space="preserve">Raj, John N. Friedman, Emmanuel Saez, Nicholas Turner, and Danny Yagan. 2017. </w:t>
      </w:r>
      <w:r w:rsidRPr="003131E2">
        <w:rPr>
          <w:i/>
          <w:iCs/>
        </w:rPr>
        <w:t>Mobility Report Cards: The Role of Colleges in Intergenerational Mobility</w:t>
      </w:r>
      <w:r>
        <w:rPr>
          <w:i/>
          <w:iCs/>
        </w:rPr>
        <w:t>.</w:t>
      </w:r>
      <w:r>
        <w:rPr>
          <w:sz w:val="22"/>
          <w:szCs w:val="22"/>
        </w:rPr>
        <w:t xml:space="preserve"> Retrieved from: </w:t>
      </w:r>
      <w:hyperlink r:id="rId16" w:history="1">
        <w:r>
          <w:rPr>
            <w:rStyle w:val="Hyperlink"/>
          </w:rPr>
          <w:t>https://opportunityinsights.org/wp-content/uploads/2018/03/coll_mrc_paper.pdf</w:t>
        </w:r>
      </w:hyperlink>
    </w:p>
    <w:p w14:paraId="48489767" w14:textId="23E51785" w:rsidR="00DE13F4" w:rsidRDefault="00DE13F4" w:rsidP="001B232A">
      <w:pPr>
        <w:pStyle w:val="Default"/>
        <w:rPr>
          <w:sz w:val="22"/>
          <w:szCs w:val="22"/>
        </w:rPr>
      </w:pPr>
    </w:p>
    <w:p w14:paraId="26C41FA3" w14:textId="1DD66C69" w:rsidR="00DE13F4" w:rsidRDefault="00DE13F4" w:rsidP="001B232A">
      <w:pPr>
        <w:pStyle w:val="Default"/>
        <w:rPr>
          <w:sz w:val="22"/>
          <w:szCs w:val="22"/>
        </w:rPr>
      </w:pPr>
      <w:r>
        <w:rPr>
          <w:sz w:val="22"/>
          <w:szCs w:val="22"/>
        </w:rPr>
        <w:t xml:space="preserve">College Board. 2018. </w:t>
      </w:r>
      <w:r w:rsidRPr="00DE13F4">
        <w:rPr>
          <w:i/>
          <w:iCs/>
          <w:sz w:val="22"/>
          <w:szCs w:val="22"/>
        </w:rPr>
        <w:t>Trends in College Pricing 2018</w:t>
      </w:r>
      <w:r>
        <w:rPr>
          <w:sz w:val="22"/>
          <w:szCs w:val="22"/>
        </w:rPr>
        <w:t>. New York: The College Board.</w:t>
      </w:r>
    </w:p>
    <w:p w14:paraId="4609C938" w14:textId="1BAC2506" w:rsidR="00DE13F4" w:rsidRDefault="00650C8C" w:rsidP="001B232A">
      <w:pPr>
        <w:pStyle w:val="Default"/>
        <w:rPr>
          <w:sz w:val="22"/>
          <w:szCs w:val="22"/>
        </w:rPr>
      </w:pPr>
      <w:hyperlink r:id="rId17" w:history="1">
        <w:r w:rsidR="00DE13F4">
          <w:rPr>
            <w:rStyle w:val="Hyperlink"/>
          </w:rPr>
          <w:t>https://research.collegeboard.org/pdf/trends-college-pricing-2018-full-report.pdf</w:t>
        </w:r>
      </w:hyperlink>
    </w:p>
    <w:p w14:paraId="650F97EC" w14:textId="22442023" w:rsidR="009E73CE" w:rsidRDefault="009E73CE" w:rsidP="001B232A">
      <w:pPr>
        <w:pStyle w:val="Default"/>
        <w:rPr>
          <w:sz w:val="22"/>
          <w:szCs w:val="22"/>
        </w:rPr>
      </w:pPr>
    </w:p>
    <w:p w14:paraId="2A91ABAB" w14:textId="5D40E214" w:rsidR="009E73CE" w:rsidRDefault="009E73CE" w:rsidP="001B232A">
      <w:pPr>
        <w:pStyle w:val="Default"/>
        <w:rPr>
          <w:sz w:val="22"/>
          <w:szCs w:val="22"/>
        </w:rPr>
      </w:pPr>
      <w:r>
        <w:rPr>
          <w:sz w:val="22"/>
          <w:szCs w:val="22"/>
        </w:rPr>
        <w:t xml:space="preserve">Cotton, Tressie McMillan. 2017. </w:t>
      </w:r>
      <w:r w:rsidRPr="009E73CE">
        <w:rPr>
          <w:i/>
          <w:iCs/>
          <w:sz w:val="22"/>
          <w:szCs w:val="22"/>
        </w:rPr>
        <w:t>Lower Ed</w:t>
      </w:r>
      <w:r>
        <w:rPr>
          <w:sz w:val="22"/>
          <w:szCs w:val="22"/>
        </w:rPr>
        <w:t>. New York: New Press.</w:t>
      </w:r>
    </w:p>
    <w:p w14:paraId="00107FE6" w14:textId="14073CBA" w:rsidR="00520E52" w:rsidRDefault="00520E52" w:rsidP="001B232A">
      <w:pPr>
        <w:pStyle w:val="Default"/>
        <w:rPr>
          <w:sz w:val="22"/>
          <w:szCs w:val="22"/>
        </w:rPr>
      </w:pPr>
    </w:p>
    <w:p w14:paraId="74B15873" w14:textId="7B8459A0" w:rsidR="00520E52" w:rsidRDefault="00520E52" w:rsidP="001B232A">
      <w:pPr>
        <w:pStyle w:val="Default"/>
        <w:rPr>
          <w:sz w:val="22"/>
          <w:szCs w:val="22"/>
        </w:rPr>
      </w:pPr>
      <w:r w:rsidRPr="00520E52">
        <w:rPr>
          <w:sz w:val="22"/>
          <w:szCs w:val="22"/>
        </w:rPr>
        <w:t xml:space="preserve">de Brey, C., Musu, L., McFarland, J., Wilkinson-Flicker, S., Diliberti, M., Zhang, A., Branstetter, C., and Wang, X. (2019). Status and Trends in the Education of Racial and Ethnic Groups 2018 (NCES 2019-038). U.S. Department of Education. Washington, DC: National Center for Education Statistics. </w:t>
      </w:r>
    </w:p>
    <w:p w14:paraId="1F6F539A" w14:textId="0CE6F3D2" w:rsidR="00E4176A" w:rsidRDefault="00E4176A" w:rsidP="001B232A">
      <w:pPr>
        <w:pStyle w:val="Default"/>
        <w:rPr>
          <w:sz w:val="22"/>
          <w:szCs w:val="22"/>
        </w:rPr>
      </w:pPr>
    </w:p>
    <w:p w14:paraId="13246D99" w14:textId="6DA8CEA4" w:rsidR="00E4176A" w:rsidRDefault="00E4176A" w:rsidP="001B232A">
      <w:pPr>
        <w:pStyle w:val="Default"/>
        <w:rPr>
          <w:sz w:val="22"/>
          <w:szCs w:val="22"/>
        </w:rPr>
      </w:pPr>
      <w:r>
        <w:rPr>
          <w:sz w:val="22"/>
          <w:szCs w:val="22"/>
        </w:rPr>
        <w:lastRenderedPageBreak/>
        <w:t>Deming, David, Claudia Goldin, and Lawrence Katz. 2012. “The For Profit Post</w:t>
      </w:r>
      <w:r w:rsidR="00192353">
        <w:rPr>
          <w:sz w:val="22"/>
          <w:szCs w:val="22"/>
        </w:rPr>
        <w:t>-</w:t>
      </w:r>
      <w:r>
        <w:rPr>
          <w:sz w:val="22"/>
          <w:szCs w:val="22"/>
        </w:rPr>
        <w:t>Secondary School Sector: Nimble Critters or Agile Pred</w:t>
      </w:r>
      <w:r w:rsidR="00B83459">
        <w:rPr>
          <w:sz w:val="22"/>
          <w:szCs w:val="22"/>
        </w:rPr>
        <w:t>a</w:t>
      </w:r>
      <w:r>
        <w:rPr>
          <w:sz w:val="22"/>
          <w:szCs w:val="22"/>
        </w:rPr>
        <w:t>tors ?</w:t>
      </w:r>
      <w:r w:rsidR="00192353">
        <w:rPr>
          <w:sz w:val="22"/>
          <w:szCs w:val="22"/>
        </w:rPr>
        <w:t xml:space="preserve">” </w:t>
      </w:r>
      <w:r w:rsidRPr="00192353">
        <w:rPr>
          <w:i/>
          <w:iCs/>
          <w:sz w:val="22"/>
          <w:szCs w:val="22"/>
        </w:rPr>
        <w:t>Journal of Economic Perspectives.</w:t>
      </w:r>
      <w:r>
        <w:rPr>
          <w:sz w:val="22"/>
          <w:szCs w:val="22"/>
        </w:rPr>
        <w:t xml:space="preserve"> Vol. 26 No. 1 Winter 2012 pp139-164.</w:t>
      </w:r>
    </w:p>
    <w:p w14:paraId="029D4194" w14:textId="5BE7EAEC" w:rsidR="00D11F4A" w:rsidRDefault="00D11F4A" w:rsidP="001B232A">
      <w:pPr>
        <w:pStyle w:val="Default"/>
        <w:rPr>
          <w:sz w:val="22"/>
          <w:szCs w:val="22"/>
        </w:rPr>
      </w:pPr>
    </w:p>
    <w:p w14:paraId="6B2C4AA8" w14:textId="4B07E98E" w:rsidR="00AA2380" w:rsidRDefault="00AA2380" w:rsidP="001B232A">
      <w:pPr>
        <w:pStyle w:val="Default"/>
        <w:rPr>
          <w:sz w:val="22"/>
          <w:szCs w:val="22"/>
        </w:rPr>
      </w:pPr>
      <w:r>
        <w:t xml:space="preserve">Douglas, D., &amp; Attewell, P. (2019). Assessing the Impact of Student Work During College. </w:t>
      </w:r>
      <w:r>
        <w:rPr>
          <w:i/>
          <w:iCs/>
        </w:rPr>
        <w:t>Piscataway, NJ: Rutgers Education and Employment Research Center</w:t>
      </w:r>
      <w:r>
        <w:t>.</w:t>
      </w:r>
    </w:p>
    <w:p w14:paraId="4C11A4B1" w14:textId="77777777" w:rsidR="00AA2380" w:rsidRDefault="00AA2380" w:rsidP="001B232A">
      <w:pPr>
        <w:pStyle w:val="Default"/>
        <w:rPr>
          <w:sz w:val="22"/>
          <w:szCs w:val="22"/>
        </w:rPr>
      </w:pPr>
    </w:p>
    <w:p w14:paraId="493846B9" w14:textId="18032791" w:rsidR="00D11F4A" w:rsidRDefault="00D11F4A" w:rsidP="001B232A">
      <w:pPr>
        <w:pStyle w:val="Default"/>
        <w:rPr>
          <w:sz w:val="22"/>
          <w:szCs w:val="22"/>
        </w:rPr>
      </w:pPr>
      <w:r>
        <w:rPr>
          <w:sz w:val="22"/>
          <w:szCs w:val="22"/>
        </w:rPr>
        <w:t xml:space="preserve">Dynarski, Susan and Daniel Kriesman. 2013. </w:t>
      </w:r>
      <w:r w:rsidR="00732F2F">
        <w:rPr>
          <w:sz w:val="22"/>
          <w:szCs w:val="22"/>
        </w:rPr>
        <w:t>“</w:t>
      </w:r>
      <w:r>
        <w:rPr>
          <w:sz w:val="22"/>
          <w:szCs w:val="22"/>
        </w:rPr>
        <w:t>Loans for Educational Opportunity: Making Borrowing Work for Today’s Students.</w:t>
      </w:r>
      <w:r w:rsidR="00732F2F">
        <w:rPr>
          <w:sz w:val="22"/>
          <w:szCs w:val="22"/>
        </w:rPr>
        <w:t>”</w:t>
      </w:r>
      <w:r>
        <w:rPr>
          <w:sz w:val="22"/>
          <w:szCs w:val="22"/>
        </w:rPr>
        <w:t xml:space="preserve"> The Hamilton Project Discussion Paper 2013-5. Washington DC: Brookings.</w:t>
      </w:r>
    </w:p>
    <w:p w14:paraId="44A7264A" w14:textId="5B74B6DA" w:rsidR="006C7ED8" w:rsidRDefault="006C7ED8" w:rsidP="001B232A">
      <w:pPr>
        <w:pStyle w:val="Default"/>
        <w:rPr>
          <w:sz w:val="22"/>
          <w:szCs w:val="22"/>
        </w:rPr>
      </w:pPr>
    </w:p>
    <w:p w14:paraId="373EC597" w14:textId="2D582FB2" w:rsidR="004E2B1A" w:rsidRDefault="006C7ED8" w:rsidP="006C7ED8">
      <w:pPr>
        <w:rPr>
          <w:rFonts w:ascii="Garamond" w:hAnsi="Garamond"/>
        </w:rPr>
      </w:pPr>
      <w:r w:rsidRPr="00B901BC">
        <w:rPr>
          <w:rFonts w:ascii="Garamond" w:hAnsi="Garamond"/>
        </w:rPr>
        <w:t xml:space="preserve">Franke, Ray; DeAngelo, Linda. 2018. </w:t>
      </w:r>
      <w:r w:rsidR="00B901BC">
        <w:rPr>
          <w:rFonts w:ascii="Garamond" w:hAnsi="Garamond"/>
        </w:rPr>
        <w:t>“</w:t>
      </w:r>
      <w:r w:rsidRPr="00B901BC">
        <w:rPr>
          <w:rFonts w:ascii="Garamond" w:hAnsi="Garamond"/>
        </w:rPr>
        <w:t>The Power of HBCUs: A Propensity Score Matching Approach Examining Persistence and Degree Completion for Black Students at PWIs and HBCUs.</w:t>
      </w:r>
      <w:r w:rsidR="00B901BC">
        <w:rPr>
          <w:rFonts w:ascii="Garamond" w:hAnsi="Garamond"/>
        </w:rPr>
        <w:t>”</w:t>
      </w:r>
      <w:r w:rsidRPr="00B901BC">
        <w:rPr>
          <w:rFonts w:ascii="Garamond" w:hAnsi="Garamond"/>
        </w:rPr>
        <w:t xml:space="preserve"> Paper presented to the AERA annual meeting in 2018.</w:t>
      </w:r>
    </w:p>
    <w:p w14:paraId="74243B20" w14:textId="3BE23D21" w:rsidR="009250D7" w:rsidRDefault="009250D7" w:rsidP="006C7ED8">
      <w:pPr>
        <w:rPr>
          <w:rFonts w:ascii="Garamond" w:hAnsi="Garamond"/>
        </w:rPr>
      </w:pPr>
      <w:r w:rsidRPr="0028349F">
        <w:rPr>
          <w:rFonts w:ascii="Garamond" w:hAnsi="Garamond"/>
        </w:rPr>
        <w:t xml:space="preserve">Goodwin, Latty and Lois Weiss. 2006. </w:t>
      </w:r>
      <w:r w:rsidRPr="0028349F">
        <w:rPr>
          <w:rFonts w:ascii="Garamond" w:hAnsi="Garamond"/>
          <w:i/>
          <w:iCs/>
        </w:rPr>
        <w:t>Graduating Class: Disadvantaged Students and the Bridge of Higher Education</w:t>
      </w:r>
      <w:r w:rsidRPr="0028349F">
        <w:rPr>
          <w:rFonts w:ascii="Garamond" w:hAnsi="Garamond"/>
        </w:rPr>
        <w:t>. SUNY Press.</w:t>
      </w:r>
    </w:p>
    <w:p w14:paraId="714FE431" w14:textId="699FC452" w:rsidR="008B7F79" w:rsidRPr="0028349F" w:rsidRDefault="008B7F79" w:rsidP="006C7ED8">
      <w:pPr>
        <w:rPr>
          <w:rFonts w:ascii="Garamond" w:hAnsi="Garamond"/>
        </w:rPr>
      </w:pPr>
      <w:r>
        <w:rPr>
          <w:rFonts w:ascii="Garamond" w:hAnsi="Garamond"/>
        </w:rPr>
        <w:t xml:space="preserve">Hamilton, Tod G. 2019. </w:t>
      </w:r>
      <w:r w:rsidRPr="008B7F79">
        <w:rPr>
          <w:rFonts w:ascii="Garamond" w:hAnsi="Garamond"/>
          <w:i/>
          <w:iCs/>
        </w:rPr>
        <w:t>Immigration and the Remaking of Black America</w:t>
      </w:r>
      <w:r>
        <w:rPr>
          <w:rFonts w:ascii="Garamond" w:hAnsi="Garamond"/>
        </w:rPr>
        <w:t>. New York: Russell Sage Foundation.</w:t>
      </w:r>
    </w:p>
    <w:p w14:paraId="2A51ACF1" w14:textId="14089EC4" w:rsidR="00305318" w:rsidRPr="0028349F" w:rsidRDefault="00305318" w:rsidP="006C7ED8">
      <w:pPr>
        <w:rPr>
          <w:rFonts w:ascii="Garamond" w:hAnsi="Garamond"/>
        </w:rPr>
      </w:pPr>
      <w:r w:rsidRPr="0028349F">
        <w:rPr>
          <w:rFonts w:ascii="Garamond" w:hAnsi="Garamond"/>
        </w:rPr>
        <w:t xml:space="preserve">Jack, Anthony Abraham. 2019. </w:t>
      </w:r>
      <w:r w:rsidRPr="0028349F">
        <w:rPr>
          <w:rFonts w:ascii="Garamond" w:hAnsi="Garamond"/>
          <w:i/>
          <w:iCs/>
        </w:rPr>
        <w:t>The Privileged Poor: How Elite Colleges are Failing Disadvant</w:t>
      </w:r>
      <w:r w:rsidR="009250D7" w:rsidRPr="0028349F">
        <w:rPr>
          <w:rFonts w:ascii="Garamond" w:hAnsi="Garamond"/>
          <w:i/>
          <w:iCs/>
        </w:rPr>
        <w:t>a</w:t>
      </w:r>
      <w:r w:rsidRPr="0028349F">
        <w:rPr>
          <w:rFonts w:ascii="Garamond" w:hAnsi="Garamond"/>
          <w:i/>
          <w:iCs/>
        </w:rPr>
        <w:t>ged Students</w:t>
      </w:r>
      <w:r w:rsidRPr="0028349F">
        <w:rPr>
          <w:rFonts w:ascii="Garamond" w:hAnsi="Garamond"/>
        </w:rPr>
        <w:t>.  Harvard University Press.</w:t>
      </w:r>
    </w:p>
    <w:p w14:paraId="2671AFBE" w14:textId="5D63B674" w:rsidR="00E06967" w:rsidRDefault="004E2B1A" w:rsidP="001B232A">
      <w:pPr>
        <w:pStyle w:val="Default"/>
        <w:rPr>
          <w:sz w:val="22"/>
          <w:szCs w:val="22"/>
        </w:rPr>
      </w:pPr>
      <w:r w:rsidRPr="004E2B1A">
        <w:rPr>
          <w:sz w:val="22"/>
          <w:szCs w:val="22"/>
        </w:rPr>
        <w:t>Giani, Matt S., Paul Attewell, and David Walling. 2019. “The Value of an Incomplete Degree: Heterogeneity in the Labor Market Benefits of College Non-Completion.” The Journal of Higher Education, August, 1–26. https://doi.org/10.1080/00221546.2019.1653122.</w:t>
      </w:r>
    </w:p>
    <w:p w14:paraId="6F133584" w14:textId="77777777" w:rsidR="004E2B1A" w:rsidRDefault="004E2B1A" w:rsidP="001B232A">
      <w:pPr>
        <w:pStyle w:val="Default"/>
        <w:rPr>
          <w:sz w:val="22"/>
          <w:szCs w:val="22"/>
        </w:rPr>
      </w:pPr>
    </w:p>
    <w:p w14:paraId="4509980D" w14:textId="352E550D" w:rsidR="00E06967" w:rsidRDefault="00E06967" w:rsidP="001B232A">
      <w:pPr>
        <w:pStyle w:val="Default"/>
        <w:rPr>
          <w:sz w:val="22"/>
          <w:szCs w:val="22"/>
        </w:rPr>
      </w:pPr>
      <w:r>
        <w:rPr>
          <w:sz w:val="22"/>
          <w:szCs w:val="22"/>
        </w:rPr>
        <w:t>Kim, Mikyong Misun and Cliffton F. Conrad. 2006. “The I</w:t>
      </w:r>
      <w:r w:rsidR="00783755">
        <w:rPr>
          <w:sz w:val="22"/>
          <w:szCs w:val="22"/>
        </w:rPr>
        <w:t>m</w:t>
      </w:r>
      <w:r>
        <w:rPr>
          <w:sz w:val="22"/>
          <w:szCs w:val="22"/>
        </w:rPr>
        <w:t>pact</w:t>
      </w:r>
      <w:r w:rsidR="00783755">
        <w:rPr>
          <w:sz w:val="22"/>
          <w:szCs w:val="22"/>
        </w:rPr>
        <w:t xml:space="preserve"> </w:t>
      </w:r>
      <w:r>
        <w:rPr>
          <w:sz w:val="22"/>
          <w:szCs w:val="22"/>
        </w:rPr>
        <w:t xml:space="preserve">of Historically Black Colleges and Universities on the Academic Success of African-American Students” </w:t>
      </w:r>
      <w:r w:rsidRPr="00F6617F">
        <w:rPr>
          <w:i/>
          <w:iCs/>
          <w:sz w:val="22"/>
          <w:szCs w:val="22"/>
        </w:rPr>
        <w:t>Research in Higher Education</w:t>
      </w:r>
      <w:r>
        <w:rPr>
          <w:sz w:val="22"/>
          <w:szCs w:val="22"/>
        </w:rPr>
        <w:t>. 47 No. 4:399-427.</w:t>
      </w:r>
    </w:p>
    <w:p w14:paraId="47A6750D" w14:textId="57E54458" w:rsidR="00855052" w:rsidRDefault="00855052" w:rsidP="001B232A">
      <w:pPr>
        <w:pStyle w:val="Default"/>
        <w:rPr>
          <w:sz w:val="22"/>
          <w:szCs w:val="22"/>
        </w:rPr>
      </w:pPr>
    </w:p>
    <w:p w14:paraId="117BCEE5" w14:textId="5BF11ECB" w:rsidR="00855052" w:rsidRDefault="00855052" w:rsidP="001B232A">
      <w:pPr>
        <w:pStyle w:val="Default"/>
        <w:rPr>
          <w:sz w:val="22"/>
          <w:szCs w:val="22"/>
        </w:rPr>
      </w:pPr>
      <w:r>
        <w:rPr>
          <w:sz w:val="22"/>
          <w:szCs w:val="22"/>
        </w:rPr>
        <w:t xml:space="preserve">Landry, Bart. 1987. </w:t>
      </w:r>
      <w:r w:rsidRPr="00F6617F">
        <w:rPr>
          <w:i/>
          <w:iCs/>
          <w:sz w:val="22"/>
          <w:szCs w:val="22"/>
        </w:rPr>
        <w:t>The New Black Middle Class</w:t>
      </w:r>
      <w:r>
        <w:rPr>
          <w:sz w:val="22"/>
          <w:szCs w:val="22"/>
        </w:rPr>
        <w:t>. Berkeley CA: University of California Press.</w:t>
      </w:r>
    </w:p>
    <w:p w14:paraId="38A57C4A" w14:textId="3F9DED23" w:rsidR="00855052" w:rsidRDefault="00855052" w:rsidP="001B232A">
      <w:pPr>
        <w:pStyle w:val="Default"/>
        <w:rPr>
          <w:sz w:val="22"/>
          <w:szCs w:val="22"/>
        </w:rPr>
      </w:pPr>
    </w:p>
    <w:p w14:paraId="289F31C8" w14:textId="090A7E56" w:rsidR="00855052" w:rsidRDefault="00855052" w:rsidP="001B232A">
      <w:pPr>
        <w:pStyle w:val="Default"/>
        <w:rPr>
          <w:sz w:val="22"/>
          <w:szCs w:val="22"/>
        </w:rPr>
      </w:pPr>
      <w:r>
        <w:rPr>
          <w:sz w:val="22"/>
          <w:szCs w:val="22"/>
        </w:rPr>
        <w:t xml:space="preserve">Landry, Bart. 2018. </w:t>
      </w:r>
      <w:r w:rsidRPr="00F6617F">
        <w:rPr>
          <w:i/>
          <w:iCs/>
          <w:sz w:val="22"/>
          <w:szCs w:val="22"/>
        </w:rPr>
        <w:t>The Black Middle Class in the Twenty-First Century</w:t>
      </w:r>
      <w:r>
        <w:rPr>
          <w:sz w:val="22"/>
          <w:szCs w:val="22"/>
        </w:rPr>
        <w:t>. NJ: Rutgers University Press.</w:t>
      </w:r>
    </w:p>
    <w:p w14:paraId="729D6AE0" w14:textId="1C1A1813" w:rsidR="007E5749" w:rsidRDefault="007E5749" w:rsidP="001B232A">
      <w:pPr>
        <w:pStyle w:val="Default"/>
        <w:rPr>
          <w:sz w:val="22"/>
          <w:szCs w:val="22"/>
        </w:rPr>
      </w:pPr>
    </w:p>
    <w:p w14:paraId="301A5EC1" w14:textId="58C6575B" w:rsidR="007E5749" w:rsidRPr="007E5749" w:rsidRDefault="007E5749" w:rsidP="007E5749">
      <w:pPr>
        <w:pStyle w:val="Heading1"/>
        <w:spacing w:before="0" w:beforeAutospacing="0" w:after="0" w:afterAutospacing="0"/>
        <w:rPr>
          <w:rFonts w:ascii="Garamond" w:hAnsi="Garamond" w:cstheme="minorHAnsi"/>
          <w:b w:val="0"/>
          <w:bCs w:val="0"/>
          <w:color w:val="2A2A2A"/>
          <w:sz w:val="22"/>
          <w:szCs w:val="22"/>
        </w:rPr>
      </w:pPr>
      <w:r w:rsidRPr="007E5749">
        <w:rPr>
          <w:rFonts w:ascii="Garamond" w:hAnsi="Garamond" w:cstheme="minorHAnsi"/>
          <w:b w:val="0"/>
          <w:bCs w:val="0"/>
          <w:sz w:val="22"/>
          <w:szCs w:val="22"/>
        </w:rPr>
        <w:t>Lane, Charles and Keith Humphreys. 2019. “</w:t>
      </w:r>
      <w:r w:rsidRPr="007E5749">
        <w:rPr>
          <w:rFonts w:ascii="Garamond" w:hAnsi="Garamond" w:cstheme="minorHAnsi"/>
          <w:b w:val="0"/>
          <w:bCs w:val="0"/>
          <w:color w:val="2A2A2A"/>
          <w:sz w:val="22"/>
          <w:szCs w:val="22"/>
        </w:rPr>
        <w:t>Black imprisonment rates are down. It’s important to know why.</w:t>
      </w:r>
      <w:r w:rsidRPr="007E5749">
        <w:rPr>
          <w:rFonts w:ascii="Garamond" w:hAnsi="Garamond" w:cstheme="minorHAnsi"/>
          <w:b w:val="0"/>
          <w:bCs w:val="0"/>
          <w:color w:val="2A2A2A"/>
          <w:sz w:val="22"/>
          <w:szCs w:val="22"/>
        </w:rPr>
        <w:t xml:space="preserve">” </w:t>
      </w:r>
      <w:r w:rsidRPr="007E5749">
        <w:rPr>
          <w:rFonts w:ascii="Garamond" w:hAnsi="Garamond"/>
          <w:b w:val="0"/>
          <w:bCs w:val="0"/>
          <w:i/>
          <w:iCs/>
          <w:sz w:val="22"/>
          <w:szCs w:val="22"/>
        </w:rPr>
        <w:t>Washington Post</w:t>
      </w:r>
      <w:r w:rsidRPr="007E5749">
        <w:rPr>
          <w:rFonts w:ascii="Garamond" w:hAnsi="Garamond"/>
          <w:b w:val="0"/>
          <w:bCs w:val="0"/>
          <w:sz w:val="22"/>
          <w:szCs w:val="22"/>
        </w:rPr>
        <w:t xml:space="preserve"> April 30</w:t>
      </w:r>
      <w:r w:rsidRPr="007E5749">
        <w:rPr>
          <w:rFonts w:ascii="Garamond" w:hAnsi="Garamond"/>
          <w:b w:val="0"/>
          <w:bCs w:val="0"/>
          <w:sz w:val="22"/>
          <w:szCs w:val="22"/>
          <w:vertAlign w:val="superscript"/>
        </w:rPr>
        <w:t>th</w:t>
      </w:r>
      <w:r w:rsidRPr="007E5749">
        <w:rPr>
          <w:rFonts w:ascii="Garamond" w:hAnsi="Garamond"/>
          <w:b w:val="0"/>
          <w:bCs w:val="0"/>
          <w:sz w:val="22"/>
          <w:szCs w:val="22"/>
        </w:rPr>
        <w:t xml:space="preserve"> 2019. Retrieved from:</w:t>
      </w:r>
    </w:p>
    <w:p w14:paraId="5684F166" w14:textId="69A95016" w:rsidR="007E5749" w:rsidRPr="007E5749" w:rsidRDefault="007E5749" w:rsidP="001B232A">
      <w:pPr>
        <w:pStyle w:val="Default"/>
        <w:rPr>
          <w:sz w:val="22"/>
          <w:szCs w:val="22"/>
        </w:rPr>
      </w:pPr>
      <w:hyperlink r:id="rId18" w:history="1">
        <w:r w:rsidRPr="007E5749">
          <w:rPr>
            <w:rStyle w:val="Hyperlink"/>
            <w:sz w:val="22"/>
            <w:szCs w:val="22"/>
          </w:rPr>
          <w:t>https://www.washingtonpost.com/opinions/2019/04/30/weve-made-remarkable-progress-black-incarceration-now-we-need-know-why/</w:t>
        </w:r>
      </w:hyperlink>
    </w:p>
    <w:p w14:paraId="6399D04C" w14:textId="1ED8ED25" w:rsidR="00553A21" w:rsidRDefault="00553A21" w:rsidP="001B232A">
      <w:pPr>
        <w:pStyle w:val="Default"/>
        <w:rPr>
          <w:sz w:val="22"/>
          <w:szCs w:val="22"/>
        </w:rPr>
      </w:pPr>
    </w:p>
    <w:p w14:paraId="030E6FC0" w14:textId="1D0565DF" w:rsidR="00553A21" w:rsidRDefault="00553A21" w:rsidP="001B232A">
      <w:pPr>
        <w:pStyle w:val="Default"/>
        <w:rPr>
          <w:sz w:val="22"/>
          <w:szCs w:val="22"/>
        </w:rPr>
      </w:pPr>
      <w:r>
        <w:rPr>
          <w:sz w:val="22"/>
          <w:szCs w:val="22"/>
        </w:rPr>
        <w:t xml:space="preserve">Lee, Elizabeth. 2016. </w:t>
      </w:r>
      <w:r w:rsidRPr="00F6617F">
        <w:rPr>
          <w:i/>
          <w:iCs/>
          <w:sz w:val="22"/>
          <w:szCs w:val="22"/>
        </w:rPr>
        <w:t>Class and Campus Life: Managing and Experiencing Inequality at an elite college</w:t>
      </w:r>
      <w:r>
        <w:rPr>
          <w:sz w:val="22"/>
          <w:szCs w:val="22"/>
        </w:rPr>
        <w:t>. Cornell ILR Press.</w:t>
      </w:r>
    </w:p>
    <w:p w14:paraId="078C1C35" w14:textId="2522D514" w:rsidR="009E73CE" w:rsidRDefault="009E73CE" w:rsidP="001B232A">
      <w:pPr>
        <w:pStyle w:val="Default"/>
        <w:rPr>
          <w:sz w:val="22"/>
          <w:szCs w:val="22"/>
        </w:rPr>
      </w:pPr>
    </w:p>
    <w:p w14:paraId="407F3A34" w14:textId="04D5EACB" w:rsidR="00CD2F60" w:rsidRDefault="00CD2F60" w:rsidP="001B232A">
      <w:pPr>
        <w:pStyle w:val="Default"/>
        <w:rPr>
          <w:sz w:val="22"/>
          <w:szCs w:val="22"/>
        </w:rPr>
      </w:pPr>
      <w:r>
        <w:rPr>
          <w:rFonts w:cs="Adobe Garamond Pro"/>
          <w:sz w:val="22"/>
          <w:szCs w:val="22"/>
        </w:rPr>
        <w:t xml:space="preserve">McFarland, J., Hussar, B., Zhang, J., Wang, X., Wang, K., Hein, S., Diliberti, M., Forrest Cataldi, E., Bullock Mann, F., and Barmer, A. (2019). </w:t>
      </w:r>
      <w:r>
        <w:rPr>
          <w:rFonts w:cs="Adobe Garamond Pro"/>
          <w:i/>
          <w:iCs/>
          <w:sz w:val="22"/>
          <w:szCs w:val="22"/>
        </w:rPr>
        <w:t xml:space="preserve">The Condition of Education 2019 </w:t>
      </w:r>
      <w:r>
        <w:rPr>
          <w:rFonts w:cs="Adobe Garamond Pro"/>
          <w:sz w:val="22"/>
          <w:szCs w:val="22"/>
        </w:rPr>
        <w:t xml:space="preserve">(NCES 2019-144). U.S. Department of Education. Washington, DC: National Center for Education Statistics. Retrieved from </w:t>
      </w:r>
      <w:r>
        <w:rPr>
          <w:rFonts w:cs="Adobe Garamond Pro"/>
          <w:sz w:val="21"/>
          <w:szCs w:val="21"/>
        </w:rPr>
        <w:t>https://nces.ed.gov/pubsearch/pubsinfo.asp?pubid=2019144</w:t>
      </w:r>
    </w:p>
    <w:p w14:paraId="6314D188" w14:textId="30B7477E" w:rsidR="000953E7" w:rsidRDefault="000953E7" w:rsidP="001B232A">
      <w:pPr>
        <w:pStyle w:val="Default"/>
        <w:rPr>
          <w:sz w:val="22"/>
          <w:szCs w:val="22"/>
        </w:rPr>
      </w:pPr>
    </w:p>
    <w:p w14:paraId="6A856D2B" w14:textId="5F758E55" w:rsidR="000D29AC" w:rsidRPr="008B7F79" w:rsidRDefault="000953E7" w:rsidP="000953E7">
      <w:pPr>
        <w:rPr>
          <w:rStyle w:val="A15"/>
          <w:rFonts w:ascii="Times New Roman" w:hAnsi="Times New Roman" w:cstheme="minorBidi"/>
          <w:color w:val="auto"/>
          <w:sz w:val="22"/>
          <w:szCs w:val="24"/>
        </w:rPr>
      </w:pPr>
      <w:r>
        <w:rPr>
          <w:rFonts w:ascii="Times New Roman" w:hAnsi="Times New Roman"/>
          <w:szCs w:val="24"/>
        </w:rPr>
        <w:t xml:space="preserve">Monaghan, David and Paul Attewell. 2015. </w:t>
      </w:r>
      <w:r w:rsidRPr="00480C1F">
        <w:rPr>
          <w:rFonts w:ascii="Times New Roman" w:hAnsi="Times New Roman"/>
          <w:szCs w:val="24"/>
        </w:rPr>
        <w:t xml:space="preserve">“The Community College Route to the BA” </w:t>
      </w:r>
      <w:r>
        <w:rPr>
          <w:rFonts w:ascii="Times New Roman" w:hAnsi="Times New Roman"/>
          <w:szCs w:val="24"/>
        </w:rPr>
        <w:t xml:space="preserve"> </w:t>
      </w:r>
      <w:r w:rsidRPr="00174A9D">
        <w:rPr>
          <w:rFonts w:ascii="Times New Roman" w:hAnsi="Times New Roman"/>
          <w:i/>
          <w:szCs w:val="24"/>
        </w:rPr>
        <w:t>Education Evaluation and Policy Analysis.</w:t>
      </w:r>
      <w:r>
        <w:rPr>
          <w:rFonts w:ascii="Times New Roman" w:hAnsi="Times New Roman"/>
          <w:szCs w:val="24"/>
        </w:rPr>
        <w:t xml:space="preserve"> </w:t>
      </w:r>
      <w:r w:rsidRPr="00A562CC">
        <w:rPr>
          <w:rFonts w:ascii="Times New Roman" w:hAnsi="Times New Roman"/>
          <w:szCs w:val="24"/>
        </w:rPr>
        <w:t>Vol.37. No.1 March 2015:70-91.</w:t>
      </w:r>
    </w:p>
    <w:p w14:paraId="43F83FE4" w14:textId="0864AE24" w:rsidR="000D29AC" w:rsidRDefault="000D29AC" w:rsidP="000D29AC">
      <w:pPr>
        <w:spacing w:after="0"/>
      </w:pPr>
      <w:r w:rsidRPr="000D29AC">
        <w:rPr>
          <w:rStyle w:val="A15"/>
          <w:rFonts w:ascii="Times New Roman" w:hAnsi="Times New Roman" w:cs="Times New Roman"/>
          <w:sz w:val="22"/>
          <w:szCs w:val="22"/>
        </w:rPr>
        <w:t xml:space="preserve">Natheson, R., Castro Samayoa, A., &amp; Gasman, M. (2019). </w:t>
      </w:r>
      <w:r w:rsidRPr="000D29AC">
        <w:rPr>
          <w:rStyle w:val="A15"/>
          <w:rFonts w:ascii="Times New Roman" w:hAnsi="Times New Roman" w:cs="Times New Roman"/>
          <w:i/>
          <w:iCs/>
          <w:sz w:val="22"/>
          <w:szCs w:val="22"/>
        </w:rPr>
        <w:t>Onward and upward: Income mobility at Historically Black Colleges and Universities</w:t>
      </w:r>
      <w:r w:rsidRPr="000D29AC">
        <w:rPr>
          <w:rStyle w:val="A15"/>
          <w:rFonts w:ascii="Times New Roman" w:hAnsi="Times New Roman" w:cs="Times New Roman"/>
          <w:sz w:val="22"/>
          <w:szCs w:val="22"/>
        </w:rPr>
        <w:t xml:space="preserve">. New Brunswick, NJ: Rutgers Center for Minority Serving Institutions. Retrieved from: </w:t>
      </w:r>
      <w:r>
        <w:rPr>
          <w:rStyle w:val="A15"/>
          <w:rFonts w:ascii="Times New Roman" w:hAnsi="Times New Roman" w:cs="Times New Roman"/>
          <w:sz w:val="22"/>
          <w:szCs w:val="22"/>
        </w:rPr>
        <w:t xml:space="preserve"> </w:t>
      </w:r>
      <w:hyperlink r:id="rId19" w:history="1">
        <w:r w:rsidRPr="00A053E2">
          <w:rPr>
            <w:rStyle w:val="Hyperlink"/>
          </w:rPr>
          <w:t>http://cmsi.gse.rutgers.edu/sites/default/files/EMreport_R4_0.pdf</w:t>
        </w:r>
      </w:hyperlink>
    </w:p>
    <w:p w14:paraId="19794172" w14:textId="77777777" w:rsidR="000D29AC" w:rsidRPr="000D29AC" w:rsidRDefault="000D29AC" w:rsidP="000D29AC">
      <w:pPr>
        <w:spacing w:after="0"/>
        <w:rPr>
          <w:rFonts w:ascii="Times New Roman" w:hAnsi="Times New Roman" w:cs="Times New Roman"/>
          <w:color w:val="000000"/>
        </w:rPr>
      </w:pPr>
    </w:p>
    <w:p w14:paraId="3522C650" w14:textId="2F573812" w:rsidR="009A7F20" w:rsidRDefault="009A7F20" w:rsidP="000953E7">
      <w:pPr>
        <w:rPr>
          <w:rFonts w:ascii="Times New Roman" w:hAnsi="Times New Roman"/>
          <w:szCs w:val="24"/>
        </w:rPr>
      </w:pPr>
      <w:r>
        <w:rPr>
          <w:rFonts w:ascii="Times New Roman" w:hAnsi="Times New Roman"/>
          <w:szCs w:val="24"/>
        </w:rPr>
        <w:t>Nichols, Andrew and Denzell Evans-Bell. 2017.</w:t>
      </w:r>
      <w:r w:rsidR="00605F1C">
        <w:rPr>
          <w:rFonts w:ascii="Times New Roman" w:hAnsi="Times New Roman"/>
          <w:szCs w:val="24"/>
        </w:rPr>
        <w:t xml:space="preserve"> </w:t>
      </w:r>
      <w:r w:rsidR="00605F1C" w:rsidRPr="00605F1C">
        <w:rPr>
          <w:rFonts w:ascii="Times New Roman" w:hAnsi="Times New Roman"/>
          <w:i/>
          <w:iCs/>
          <w:szCs w:val="24"/>
        </w:rPr>
        <w:t>A Look at Black Student Success</w:t>
      </w:r>
      <w:r w:rsidR="00605F1C">
        <w:rPr>
          <w:rFonts w:ascii="Times New Roman" w:hAnsi="Times New Roman"/>
          <w:szCs w:val="24"/>
        </w:rPr>
        <w:t xml:space="preserve">. Washington DC: The Education Trust.  Retrieved from: </w:t>
      </w:r>
      <w:hyperlink r:id="rId20" w:history="1">
        <w:r w:rsidR="00605F1C" w:rsidRPr="00550350">
          <w:rPr>
            <w:rStyle w:val="Hyperlink"/>
          </w:rPr>
          <w:t>https://edtrust.org/wp-content/uploads/2014/09/A-Look-at-Black-Student-Success.pdf</w:t>
        </w:r>
      </w:hyperlink>
    </w:p>
    <w:p w14:paraId="099003B7" w14:textId="28814C0C" w:rsidR="00F54868" w:rsidRDefault="00F54868" w:rsidP="00CD2F60">
      <w:pPr>
        <w:pStyle w:val="Default"/>
        <w:rPr>
          <w:sz w:val="22"/>
          <w:szCs w:val="22"/>
        </w:rPr>
      </w:pPr>
      <w:r w:rsidRPr="00F54868">
        <w:rPr>
          <w:sz w:val="22"/>
          <w:szCs w:val="22"/>
        </w:rPr>
        <w:t xml:space="preserve">Radford, Alexandria Walton, Laura Burns Fritch, Katherine Leu, and Michael Duprey. 2018. High School Longitudinal Study of 2009 (HSLS:09) Second Follow-Up: A First Look at Fall 2009 Ninth-Graders in 2016. NCES 2018-139. National Center for Education Statistics. </w:t>
      </w:r>
      <w:hyperlink r:id="rId21" w:history="1">
        <w:r w:rsidR="001A078A" w:rsidRPr="00F75882">
          <w:rPr>
            <w:rStyle w:val="Hyperlink"/>
            <w:sz w:val="22"/>
            <w:szCs w:val="22"/>
          </w:rPr>
          <w:t>https://eric.ed.gov/?id=ED580432</w:t>
        </w:r>
      </w:hyperlink>
      <w:r w:rsidRPr="00F54868">
        <w:rPr>
          <w:sz w:val="22"/>
          <w:szCs w:val="22"/>
        </w:rPr>
        <w:t>.</w:t>
      </w:r>
    </w:p>
    <w:p w14:paraId="0BE38F2C" w14:textId="034F26EE" w:rsidR="001A078A" w:rsidRDefault="001A078A" w:rsidP="00CD2F60">
      <w:pPr>
        <w:pStyle w:val="Default"/>
        <w:rPr>
          <w:sz w:val="22"/>
          <w:szCs w:val="22"/>
        </w:rPr>
      </w:pPr>
    </w:p>
    <w:p w14:paraId="0034D4D5" w14:textId="0B627E7C" w:rsidR="00F54868" w:rsidRDefault="001A078A" w:rsidP="00CD2F60">
      <w:pPr>
        <w:pStyle w:val="Default"/>
        <w:rPr>
          <w:sz w:val="22"/>
          <w:szCs w:val="22"/>
        </w:rPr>
      </w:pPr>
      <w:r>
        <w:rPr>
          <w:sz w:val="22"/>
          <w:szCs w:val="22"/>
        </w:rPr>
        <w:t xml:space="preserve">Robinson, Eugene. 2010. Disintegration: </w:t>
      </w:r>
      <w:r w:rsidRPr="001A078A">
        <w:rPr>
          <w:i/>
          <w:iCs/>
          <w:sz w:val="22"/>
          <w:szCs w:val="22"/>
        </w:rPr>
        <w:t>The Splintering of Black America</w:t>
      </w:r>
      <w:r>
        <w:rPr>
          <w:sz w:val="22"/>
          <w:szCs w:val="22"/>
        </w:rPr>
        <w:t>. New York: Doubleday.</w:t>
      </w:r>
    </w:p>
    <w:p w14:paraId="5C9B11BE" w14:textId="77777777" w:rsidR="001A078A" w:rsidRDefault="001A078A" w:rsidP="00CD2F60">
      <w:pPr>
        <w:pStyle w:val="Default"/>
        <w:rPr>
          <w:sz w:val="22"/>
          <w:szCs w:val="22"/>
        </w:rPr>
      </w:pPr>
    </w:p>
    <w:p w14:paraId="23EAD43B" w14:textId="06230C00" w:rsidR="00CD2F60" w:rsidRDefault="00CD2F60" w:rsidP="00CD2F60">
      <w:pPr>
        <w:pStyle w:val="Default"/>
        <w:rPr>
          <w:sz w:val="22"/>
          <w:szCs w:val="22"/>
        </w:rPr>
      </w:pPr>
      <w:r>
        <w:rPr>
          <w:sz w:val="22"/>
          <w:szCs w:val="22"/>
        </w:rPr>
        <w:t>Ruch, Richard S. 2001. Higher Ed Inc: the rise of the for profit university. Baltimore MD: The Johns Hopkins University Press.</w:t>
      </w:r>
    </w:p>
    <w:p w14:paraId="02DC92A9" w14:textId="77777777" w:rsidR="00CD2F60" w:rsidRDefault="00CD2F60" w:rsidP="00CD2F60">
      <w:pPr>
        <w:pStyle w:val="Default"/>
        <w:rPr>
          <w:sz w:val="22"/>
          <w:szCs w:val="22"/>
        </w:rPr>
      </w:pPr>
    </w:p>
    <w:p w14:paraId="7B7DCB3D" w14:textId="36F08696" w:rsidR="00CD2F60" w:rsidRDefault="00A1092B" w:rsidP="000953E7">
      <w:pPr>
        <w:rPr>
          <w:rFonts w:ascii="Times New Roman" w:hAnsi="Times New Roman"/>
          <w:szCs w:val="24"/>
        </w:rPr>
      </w:pPr>
      <w:r>
        <w:rPr>
          <w:rFonts w:ascii="Times New Roman" w:hAnsi="Times New Roman"/>
          <w:szCs w:val="24"/>
        </w:rPr>
        <w:t>Scott-Clayton, Judith. 2018. “The looming student-loan default crisis is worse than we thought” Evidence Speaks Report Vol. 2 No.34 January 10</w:t>
      </w:r>
      <w:r w:rsidRPr="00A1092B">
        <w:rPr>
          <w:rFonts w:ascii="Times New Roman" w:hAnsi="Times New Roman"/>
          <w:szCs w:val="24"/>
          <w:vertAlign w:val="superscript"/>
        </w:rPr>
        <w:t>th</w:t>
      </w:r>
      <w:r>
        <w:rPr>
          <w:rFonts w:ascii="Times New Roman" w:hAnsi="Times New Roman"/>
          <w:szCs w:val="24"/>
        </w:rPr>
        <w:t xml:space="preserve"> 2018. Washington DC: Brookings. </w:t>
      </w:r>
    </w:p>
    <w:p w14:paraId="4467EDCD" w14:textId="54674C5D" w:rsidR="001F72CE" w:rsidRDefault="001F72CE" w:rsidP="000953E7">
      <w:pPr>
        <w:rPr>
          <w:rFonts w:ascii="Times New Roman" w:hAnsi="Times New Roman"/>
          <w:szCs w:val="24"/>
        </w:rPr>
      </w:pPr>
      <w:r>
        <w:rPr>
          <w:rFonts w:ascii="Times New Roman" w:hAnsi="Times New Roman"/>
          <w:szCs w:val="24"/>
        </w:rPr>
        <w:t xml:space="preserve">Smith-Barrow, Delece. 2019. “HBCU’s sink or swim moment.” </w:t>
      </w:r>
      <w:r w:rsidRPr="001F72CE">
        <w:rPr>
          <w:rFonts w:ascii="Times New Roman" w:hAnsi="Times New Roman"/>
          <w:i/>
          <w:iCs/>
          <w:szCs w:val="24"/>
        </w:rPr>
        <w:t>New York Times</w:t>
      </w:r>
      <w:r>
        <w:rPr>
          <w:rFonts w:ascii="Times New Roman" w:hAnsi="Times New Roman"/>
          <w:szCs w:val="24"/>
        </w:rPr>
        <w:t>, October 21</w:t>
      </w:r>
      <w:r w:rsidRPr="001F72CE">
        <w:rPr>
          <w:rFonts w:ascii="Times New Roman" w:hAnsi="Times New Roman"/>
          <w:szCs w:val="24"/>
          <w:vertAlign w:val="superscript"/>
        </w:rPr>
        <w:t>st</w:t>
      </w:r>
      <w:r>
        <w:rPr>
          <w:rFonts w:ascii="Times New Roman" w:hAnsi="Times New Roman"/>
          <w:szCs w:val="24"/>
        </w:rPr>
        <w:t xml:space="preserve"> 2019. Opinion section. </w:t>
      </w:r>
      <w:hyperlink r:id="rId22" w:history="1">
        <w:r>
          <w:rPr>
            <w:rStyle w:val="Hyperlink"/>
          </w:rPr>
          <w:t>https://www.nytimes.com/2019/10/21/opinion/hbcu-college.html</w:t>
        </w:r>
      </w:hyperlink>
    </w:p>
    <w:p w14:paraId="4F527D97" w14:textId="282AFC6D" w:rsidR="00FF5250" w:rsidRDefault="00FF5250" w:rsidP="000953E7">
      <w:pPr>
        <w:rPr>
          <w:rFonts w:ascii="Times New Roman" w:hAnsi="Times New Roman"/>
          <w:szCs w:val="24"/>
        </w:rPr>
      </w:pPr>
      <w:r>
        <w:rPr>
          <w:rFonts w:ascii="Times New Roman" w:hAnsi="Times New Roman"/>
          <w:szCs w:val="24"/>
        </w:rPr>
        <w:t xml:space="preserve">Tinto, V. 1993. </w:t>
      </w:r>
      <w:r w:rsidRPr="00FF5250">
        <w:rPr>
          <w:rFonts w:ascii="Times New Roman" w:hAnsi="Times New Roman"/>
          <w:i/>
          <w:iCs/>
          <w:szCs w:val="24"/>
        </w:rPr>
        <w:t>Leaving College: Rethinking the Causes and Cures of Student Attrition</w:t>
      </w:r>
      <w:r>
        <w:rPr>
          <w:rFonts w:ascii="Times New Roman" w:hAnsi="Times New Roman"/>
          <w:szCs w:val="24"/>
        </w:rPr>
        <w:t xml:space="preserve">. University of Chicago Press.  </w:t>
      </w:r>
    </w:p>
    <w:p w14:paraId="144EC9FD" w14:textId="4090310C" w:rsidR="00782476" w:rsidRDefault="00A310DC" w:rsidP="00B401CA">
      <w:pPr>
        <w:pStyle w:val="Default"/>
        <w:rPr>
          <w:sz w:val="22"/>
          <w:szCs w:val="22"/>
        </w:rPr>
      </w:pPr>
      <w:r>
        <w:rPr>
          <w:sz w:val="22"/>
          <w:szCs w:val="22"/>
        </w:rPr>
        <w:t xml:space="preserve">United States General Accounting Office (GAO). 2018. </w:t>
      </w:r>
      <w:r w:rsidRPr="00A310DC">
        <w:rPr>
          <w:i/>
          <w:iCs/>
          <w:sz w:val="22"/>
          <w:szCs w:val="22"/>
        </w:rPr>
        <w:t>FOOD INSECURITY: Better Information Could Help Eligible College Students Access Federal Food Assistance Benefits.</w:t>
      </w:r>
      <w:r>
        <w:rPr>
          <w:sz w:val="22"/>
          <w:szCs w:val="22"/>
        </w:rPr>
        <w:t xml:space="preserve"> GAO-19-95.  </w:t>
      </w:r>
      <w:hyperlink r:id="rId23" w:history="1">
        <w:r w:rsidR="00782476" w:rsidRPr="007E6EDF">
          <w:rPr>
            <w:rStyle w:val="Hyperlink"/>
            <w:sz w:val="22"/>
            <w:szCs w:val="22"/>
          </w:rPr>
          <w:t>https://www.gao.gov/assets/700/696254.pdf</w:t>
        </w:r>
      </w:hyperlink>
      <w:r w:rsidR="00782476">
        <w:rPr>
          <w:sz w:val="22"/>
          <w:szCs w:val="22"/>
        </w:rPr>
        <w:t xml:space="preserve"> </w:t>
      </w:r>
    </w:p>
    <w:p w14:paraId="0917B05B" w14:textId="77777777" w:rsidR="00B401CA" w:rsidRPr="00B401CA" w:rsidRDefault="00B401CA" w:rsidP="00B401CA">
      <w:pPr>
        <w:pStyle w:val="Default"/>
        <w:rPr>
          <w:sz w:val="22"/>
          <w:szCs w:val="22"/>
        </w:rPr>
      </w:pPr>
    </w:p>
    <w:p w14:paraId="1D8D1DAC" w14:textId="1F467243" w:rsidR="000953E7" w:rsidRDefault="000953E7" w:rsidP="000953E7">
      <w:pPr>
        <w:rPr>
          <w:rStyle w:val="Hyperlink"/>
          <w:rFonts w:ascii="Arial" w:hAnsi="Arial" w:cs="Arial"/>
          <w:sz w:val="20"/>
        </w:rPr>
      </w:pPr>
      <w:r>
        <w:rPr>
          <w:rFonts w:ascii="Times New Roman" w:hAnsi="Times New Roman"/>
          <w:szCs w:val="24"/>
        </w:rPr>
        <w:t>Witteveen, Dirk and Paul Attewell. 2019</w:t>
      </w:r>
      <w:r w:rsidR="00B401CA">
        <w:rPr>
          <w:rFonts w:ascii="Times New Roman" w:hAnsi="Times New Roman"/>
          <w:szCs w:val="24"/>
        </w:rPr>
        <w:t>a</w:t>
      </w:r>
      <w:r>
        <w:rPr>
          <w:rFonts w:ascii="Times New Roman" w:hAnsi="Times New Roman"/>
          <w:szCs w:val="24"/>
        </w:rPr>
        <w:t xml:space="preserve">. </w:t>
      </w:r>
      <w:r>
        <w:t>“The Vertical Transfer Penalty among Bachelor’s Degree Graduates.”</w:t>
      </w:r>
      <w:r>
        <w:rPr>
          <w:rFonts w:ascii="Times New Roman" w:hAnsi="Times New Roman"/>
          <w:szCs w:val="24"/>
        </w:rPr>
        <w:t xml:space="preserve"> </w:t>
      </w:r>
      <w:r w:rsidRPr="00474779">
        <w:rPr>
          <w:i/>
        </w:rPr>
        <w:t>Journal of Higher Education</w:t>
      </w:r>
      <w:r>
        <w:t xml:space="preserve">.  </w:t>
      </w:r>
      <w:r>
        <w:rPr>
          <w:rFonts w:ascii="Arial" w:hAnsi="Arial" w:cs="Arial"/>
          <w:color w:val="777777"/>
          <w:sz w:val="18"/>
          <w:szCs w:val="18"/>
        </w:rPr>
        <w:t xml:space="preserve">Published online: 24 May 2019 </w:t>
      </w:r>
      <w:hyperlink r:id="rId24" w:history="1">
        <w:r w:rsidRPr="00B42F1F">
          <w:rPr>
            <w:rStyle w:val="Hyperlink"/>
            <w:rFonts w:ascii="Arial" w:hAnsi="Arial" w:cs="Arial"/>
            <w:sz w:val="20"/>
          </w:rPr>
          <w:t>https://doi.org/10.1080/00221546.2019.1609323</w:t>
        </w:r>
      </w:hyperlink>
    </w:p>
    <w:p w14:paraId="02B63108" w14:textId="5510D028" w:rsidR="00B401CA" w:rsidRDefault="00B401CA" w:rsidP="00B401CA">
      <w:r w:rsidRPr="00B401CA">
        <w:t xml:space="preserve">Witteveen, Dirk and Paul Attewell. 2019b “Social Dimensions of Student Debt: A Data Mining Analysis” </w:t>
      </w:r>
      <w:r w:rsidRPr="00B401CA">
        <w:rPr>
          <w:i/>
          <w:iCs/>
        </w:rPr>
        <w:t>Journal of Student Financial Aid</w:t>
      </w:r>
      <w:r w:rsidRPr="00B401CA">
        <w:t>. Vol 49, No 1. 2019. Published online: 15 October 2019.</w:t>
      </w:r>
    </w:p>
    <w:p w14:paraId="0523A040" w14:textId="77777777" w:rsidR="00A85D5E" w:rsidRPr="00B401CA" w:rsidRDefault="00A85D5E" w:rsidP="00B401CA"/>
    <w:p w14:paraId="2C3C743D" w14:textId="25366C30" w:rsidR="00B401CA" w:rsidRPr="000953E7" w:rsidRDefault="00B401CA" w:rsidP="000953E7">
      <w:pPr>
        <w:rPr>
          <w:rFonts w:ascii="Times New Roman" w:hAnsi="Times New Roman"/>
          <w:szCs w:val="24"/>
        </w:rPr>
      </w:pPr>
      <w:r>
        <w:rPr>
          <w:rFonts w:ascii="Times New Roman" w:hAnsi="Times New Roman"/>
          <w:szCs w:val="24"/>
        </w:rPr>
        <w:t>.</w:t>
      </w:r>
    </w:p>
    <w:p w14:paraId="49B8134B" w14:textId="726629A2" w:rsidR="000953E7" w:rsidRPr="00474779" w:rsidRDefault="000953E7" w:rsidP="000953E7">
      <w:pPr>
        <w:pStyle w:val="Default"/>
        <w:ind w:left="720" w:firstLine="720"/>
        <w:rPr>
          <w:rFonts w:ascii="Times New Roman" w:hAnsi="Times New Roman" w:cs="Times New Roman"/>
        </w:rPr>
      </w:pPr>
    </w:p>
    <w:p w14:paraId="35C90CD9" w14:textId="77777777" w:rsidR="000953E7" w:rsidRDefault="000953E7" w:rsidP="000953E7"/>
    <w:p w14:paraId="023E74A2" w14:textId="77777777" w:rsidR="000953E7" w:rsidRPr="001B232A" w:rsidRDefault="000953E7" w:rsidP="001B232A">
      <w:pPr>
        <w:pStyle w:val="Default"/>
        <w:rPr>
          <w:sz w:val="22"/>
          <w:szCs w:val="22"/>
        </w:rPr>
      </w:pPr>
    </w:p>
    <w:sectPr w:rsidR="000953E7" w:rsidRPr="001B23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53A61" w14:textId="77777777" w:rsidR="00650C8C" w:rsidRDefault="00650C8C" w:rsidP="009E03EC">
      <w:pPr>
        <w:spacing w:after="0" w:line="240" w:lineRule="auto"/>
      </w:pPr>
      <w:r>
        <w:separator/>
      </w:r>
    </w:p>
  </w:endnote>
  <w:endnote w:type="continuationSeparator" w:id="0">
    <w:p w14:paraId="561AE60E" w14:textId="77777777" w:rsidR="00650C8C" w:rsidRDefault="00650C8C" w:rsidP="009E03EC">
      <w:pPr>
        <w:spacing w:after="0" w:line="240" w:lineRule="auto"/>
      </w:pPr>
      <w:r>
        <w:continuationSeparator/>
      </w:r>
    </w:p>
  </w:endnote>
  <w:endnote w:type="continuationNotice" w:id="1">
    <w:p w14:paraId="3A11E347" w14:textId="77777777" w:rsidR="00650C8C" w:rsidRDefault="00650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Bold">
    <w:altName w:val="Minion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333392"/>
      <w:docPartObj>
        <w:docPartGallery w:val="Page Numbers (Bottom of Page)"/>
        <w:docPartUnique/>
      </w:docPartObj>
    </w:sdtPr>
    <w:sdtEndPr>
      <w:rPr>
        <w:noProof/>
      </w:rPr>
    </w:sdtEndPr>
    <w:sdtContent>
      <w:p w14:paraId="37CA4293" w14:textId="0308C731" w:rsidR="00961511" w:rsidRDefault="009615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4EDFF" w14:textId="77777777" w:rsidR="00961511" w:rsidRDefault="00961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16C90" w14:textId="77777777" w:rsidR="00650C8C" w:rsidRDefault="00650C8C" w:rsidP="009E03EC">
      <w:pPr>
        <w:spacing w:after="0" w:line="240" w:lineRule="auto"/>
      </w:pPr>
      <w:r>
        <w:separator/>
      </w:r>
    </w:p>
  </w:footnote>
  <w:footnote w:type="continuationSeparator" w:id="0">
    <w:p w14:paraId="070AC0BD" w14:textId="77777777" w:rsidR="00650C8C" w:rsidRDefault="00650C8C" w:rsidP="009E03EC">
      <w:pPr>
        <w:spacing w:after="0" w:line="240" w:lineRule="auto"/>
      </w:pPr>
      <w:r>
        <w:continuationSeparator/>
      </w:r>
    </w:p>
  </w:footnote>
  <w:footnote w:type="continuationNotice" w:id="1">
    <w:p w14:paraId="469DE36E" w14:textId="77777777" w:rsidR="00650C8C" w:rsidRDefault="00650C8C">
      <w:pPr>
        <w:spacing w:after="0" w:line="240" w:lineRule="auto"/>
      </w:pPr>
    </w:p>
  </w:footnote>
  <w:footnote w:id="2">
    <w:p w14:paraId="7AFEC731" w14:textId="77777777" w:rsidR="00234A14" w:rsidRPr="00234A14" w:rsidRDefault="00234A14" w:rsidP="00234A14">
      <w:pPr>
        <w:pStyle w:val="FootnoteText"/>
        <w:rPr>
          <w:rFonts w:cstheme="minorHAnsi"/>
          <w:sz w:val="22"/>
          <w:szCs w:val="22"/>
        </w:rPr>
      </w:pPr>
      <w:r w:rsidRPr="00234A14">
        <w:rPr>
          <w:rStyle w:val="FootnoteReference"/>
          <w:sz w:val="22"/>
          <w:szCs w:val="22"/>
        </w:rPr>
        <w:footnoteRef/>
      </w:r>
      <w:r w:rsidRPr="00234A14">
        <w:rPr>
          <w:sz w:val="22"/>
          <w:szCs w:val="22"/>
        </w:rPr>
        <w:t xml:space="preserve"> Throughout this paper, we will use the term Black to refer to people of the African Diaspora, and to such populations that reside within the United States.  To some, African Americans are a subgroup within the larger Black community.  Since our discussion purposely includes those who may be first-generation immigrants or who, for whatever reason, do not identify as African American, we employ the term “Black.”  Furthermore, we capitalize it to distinguish the racial category and related </w:t>
      </w:r>
      <w:r w:rsidRPr="00234A14">
        <w:rPr>
          <w:rFonts w:cstheme="minorHAnsi"/>
          <w:sz w:val="22"/>
          <w:szCs w:val="22"/>
        </w:rPr>
        <w:t>identity from the color</w:t>
      </w:r>
      <w:r w:rsidRPr="00234A14">
        <w:rPr>
          <w:rFonts w:eastAsia="Times New Roman" w:cstheme="minorHAnsi"/>
          <w:noProof/>
          <w:sz w:val="22"/>
          <w:szCs w:val="22"/>
        </w:rPr>
        <w:t>.  Similarly, we capitalize the word White when referring to race.</w:t>
      </w:r>
    </w:p>
    <w:p w14:paraId="3CAAF785" w14:textId="74096C51" w:rsidR="00234A14" w:rsidRPr="00234A14" w:rsidRDefault="00234A14">
      <w:pPr>
        <w:pStyle w:val="FootnoteText"/>
        <w:rPr>
          <w:sz w:val="22"/>
          <w:szCs w:val="22"/>
        </w:rPr>
      </w:pPr>
    </w:p>
  </w:footnote>
  <w:footnote w:id="3">
    <w:p w14:paraId="0F001458" w14:textId="1630C841" w:rsidR="005C1280" w:rsidRPr="00234A14" w:rsidRDefault="005C1280">
      <w:pPr>
        <w:pStyle w:val="FootnoteText"/>
        <w:rPr>
          <w:sz w:val="22"/>
          <w:szCs w:val="22"/>
        </w:rPr>
      </w:pPr>
      <w:r w:rsidRPr="00234A14">
        <w:rPr>
          <w:rStyle w:val="FootnoteReference"/>
          <w:sz w:val="22"/>
          <w:szCs w:val="22"/>
        </w:rPr>
        <w:footnoteRef/>
      </w:r>
      <w:r w:rsidRPr="00234A14">
        <w:rPr>
          <w:sz w:val="22"/>
          <w:szCs w:val="22"/>
        </w:rPr>
        <w:t xml:space="preserve"> This research was supported jointly by the Bill &amp; Melinda Gates Foundation and the Ascendium Education Group, as part of the project “Early Leading Indicators of </w:t>
      </w:r>
      <w:r w:rsidR="005072B2">
        <w:rPr>
          <w:sz w:val="22"/>
          <w:szCs w:val="22"/>
        </w:rPr>
        <w:t>S</w:t>
      </w:r>
      <w:r w:rsidRPr="00234A14">
        <w:rPr>
          <w:sz w:val="22"/>
          <w:szCs w:val="22"/>
        </w:rPr>
        <w:t xml:space="preserve">tudent </w:t>
      </w:r>
      <w:r w:rsidR="005072B2">
        <w:rPr>
          <w:sz w:val="22"/>
          <w:szCs w:val="22"/>
        </w:rPr>
        <w:t>S</w:t>
      </w:r>
      <w:r w:rsidRPr="00234A14">
        <w:rPr>
          <w:sz w:val="22"/>
          <w:szCs w:val="22"/>
        </w:rPr>
        <w:t xml:space="preserve">uccess.” We would also like to thank Professor Juan Battle for his advice. </w:t>
      </w:r>
    </w:p>
    <w:p w14:paraId="4CB44E25" w14:textId="77777777" w:rsidR="005C1280" w:rsidRPr="005C1280" w:rsidRDefault="005C1280">
      <w:pPr>
        <w:pStyle w:val="FootnoteText"/>
        <w:rPr>
          <w:sz w:val="18"/>
          <w:szCs w:val="18"/>
        </w:rPr>
      </w:pPr>
    </w:p>
  </w:footnote>
  <w:footnote w:id="4">
    <w:p w14:paraId="29EF2485" w14:textId="71CB0A57" w:rsidR="00961511" w:rsidRDefault="00961511">
      <w:pPr>
        <w:pStyle w:val="FootnoteText"/>
      </w:pPr>
      <w:r>
        <w:rPr>
          <w:rStyle w:val="FootnoteReference"/>
        </w:rPr>
        <w:footnoteRef/>
      </w:r>
      <w:r>
        <w:t xml:space="preserve"> The College Board (2018 p.3) notes that “On average, full-time students at public two-year colleges receive more than enough grant aid and federal tax benefits in 2018-19 to cover tuition and fees. After this aid, they face an average of $8,270 in living expenses out of pocket.</w:t>
      </w:r>
      <w:r>
        <w:rPr>
          <w:rStyle w:val="Hyperlink"/>
        </w:rPr>
        <w:t xml:space="preserve">” </w:t>
      </w:r>
      <w:hyperlink r:id="rId1" w:history="1">
        <w:r w:rsidRPr="00582D53">
          <w:rPr>
            <w:rStyle w:val="Hyperlink"/>
          </w:rPr>
          <w:t>https://research.collegeboard.org/pdf/trends-college-pricing-2018-full-report.pdf</w:t>
        </w:r>
      </w:hyperlink>
    </w:p>
  </w:footnote>
  <w:footnote w:id="5">
    <w:p w14:paraId="5FE79775" w14:textId="469F356A" w:rsidR="00961511" w:rsidRPr="00F056BF" w:rsidRDefault="00961511">
      <w:pPr>
        <w:pStyle w:val="FootnoteText"/>
        <w:rPr>
          <w:sz w:val="18"/>
          <w:szCs w:val="18"/>
        </w:rPr>
      </w:pPr>
      <w:r w:rsidRPr="00F056BF">
        <w:rPr>
          <w:rStyle w:val="FootnoteReference"/>
          <w:sz w:val="18"/>
          <w:szCs w:val="18"/>
        </w:rPr>
        <w:footnoteRef/>
      </w:r>
      <w:r w:rsidRPr="00F056BF">
        <w:rPr>
          <w:sz w:val="18"/>
          <w:szCs w:val="18"/>
        </w:rPr>
        <w:t xml:space="preserve"> </w:t>
      </w:r>
      <w:hyperlink r:id="rId2" w:history="1">
        <w:r w:rsidRPr="00F056BF">
          <w:rPr>
            <w:rStyle w:val="Hyperlink"/>
            <w:sz w:val="18"/>
            <w:szCs w:val="18"/>
          </w:rPr>
          <w:t>https://nces.ed.gov/fastfacts/display.asp?id=667</w:t>
        </w:r>
      </w:hyperlink>
      <w:r w:rsidRPr="00F056BF">
        <w:rPr>
          <w:sz w:val="18"/>
          <w:szCs w:val="18"/>
        </w:rPr>
        <w:t xml:space="preserve"> “</w:t>
      </w:r>
    </w:p>
  </w:footnote>
  <w:footnote w:id="6">
    <w:p w14:paraId="5EA08F31" w14:textId="2F56142C" w:rsidR="00961511" w:rsidRPr="00645347" w:rsidRDefault="00961511" w:rsidP="00C12EAB">
      <w:pPr>
        <w:pStyle w:val="FootnoteText"/>
      </w:pPr>
      <w:r>
        <w:rPr>
          <w:rStyle w:val="FootnoteReference"/>
        </w:rPr>
        <w:footnoteRef/>
      </w:r>
      <w:r>
        <w:t xml:space="preserve"> These numbers refer to the </w:t>
      </w:r>
      <w:r>
        <w:rPr>
          <w:rFonts w:ascii="Calibri" w:eastAsia="Calibri" w:hAnsi="Calibri" w:cs="Calibri"/>
        </w:rPr>
        <w:t>High school status completion rate for Black 18-24 year</w:t>
      </w:r>
      <w:r w:rsidR="00A22771">
        <w:rPr>
          <w:rFonts w:ascii="Calibri" w:eastAsia="Calibri" w:hAnsi="Calibri" w:cs="Calibri"/>
        </w:rPr>
        <w:t>-</w:t>
      </w:r>
      <w:r>
        <w:rPr>
          <w:rFonts w:ascii="Calibri" w:eastAsia="Calibri" w:hAnsi="Calibri" w:cs="Calibri"/>
        </w:rPr>
        <w:t xml:space="preserve">olds. They are obtained from multiple years of the US Department of Education’s annual </w:t>
      </w:r>
      <w:r>
        <w:rPr>
          <w:rFonts w:ascii="Calibri" w:eastAsia="Calibri" w:hAnsi="Calibri" w:cs="Calibri"/>
          <w:i/>
          <w:iCs/>
        </w:rPr>
        <w:t xml:space="preserve">Digest of Education Statistics </w:t>
      </w:r>
      <w:r w:rsidRPr="00645347">
        <w:rPr>
          <w:rFonts w:ascii="Calibri" w:eastAsia="Calibri" w:hAnsi="Calibri" w:cs="Calibri"/>
        </w:rPr>
        <w:t>Table 219.67.</w:t>
      </w:r>
      <w:r>
        <w:rPr>
          <w:rFonts w:ascii="Calibri" w:eastAsia="Calibri" w:hAnsi="Calibri" w:cs="Calibri"/>
        </w:rPr>
        <w:t xml:space="preserve"> </w:t>
      </w:r>
      <w:hyperlink r:id="rId3" w:history="1">
        <w:r w:rsidRPr="00582D53">
          <w:rPr>
            <w:rStyle w:val="Hyperlink"/>
            <w:rFonts w:ascii="Calibri" w:eastAsia="Calibri" w:hAnsi="Calibri" w:cs="Calibri"/>
          </w:rPr>
          <w:t>https://nces.ed.gov/programs/digest/d18/tables/dt18_219.67.asp</w:t>
        </w:r>
      </w:hyperlink>
      <w:r>
        <w:rPr>
          <w:rFonts w:ascii="Calibri" w:eastAsia="Calibri" w:hAnsi="Calibri" w:cs="Calibri"/>
        </w:rPr>
        <w:t xml:space="preserve">. </w:t>
      </w:r>
    </w:p>
  </w:footnote>
  <w:footnote w:id="7">
    <w:p w14:paraId="2F3458BD" w14:textId="280C1FA2" w:rsidR="00961511" w:rsidRDefault="00961511" w:rsidP="00DE5593">
      <w:pPr>
        <w:rPr>
          <w:rFonts w:ascii="Calibri" w:eastAsia="Calibri" w:hAnsi="Calibri" w:cs="Calibri"/>
        </w:rPr>
      </w:pPr>
      <w:r>
        <w:rPr>
          <w:rStyle w:val="FootnoteReference"/>
        </w:rPr>
        <w:footnoteRef/>
      </w:r>
      <w:r>
        <w:t xml:space="preserve"> This is a three-year rolling average reported by the </w:t>
      </w:r>
      <w:r>
        <w:rPr>
          <w:rFonts w:ascii="Calibri" w:eastAsia="Calibri" w:hAnsi="Calibri" w:cs="Calibri"/>
        </w:rPr>
        <w:t xml:space="preserve">U.S. Department of Education, National Center for Education Statistics (2017). Table 302.20. “Percentage of recent high school completers enrolled in college, by race/ethnicity: 1960 through 2016.” In </w:t>
      </w:r>
      <w:r>
        <w:rPr>
          <w:rFonts w:ascii="Calibri" w:eastAsia="Calibri" w:hAnsi="Calibri" w:cs="Calibri"/>
          <w:i/>
          <w:iCs/>
        </w:rPr>
        <w:t>Digest of Education Statistics</w:t>
      </w:r>
      <w:r>
        <w:rPr>
          <w:rFonts w:ascii="Calibri" w:eastAsia="Calibri" w:hAnsi="Calibri" w:cs="Calibri"/>
        </w:rPr>
        <w:t xml:space="preserve"> (2017 ed.). Retrieved from </w:t>
      </w:r>
      <w:hyperlink r:id="rId4" w:history="1">
        <w:r w:rsidR="00DE5593" w:rsidRPr="001A2C74">
          <w:rPr>
            <w:rStyle w:val="Hyperlink"/>
            <w:rFonts w:ascii="Calibri" w:eastAsia="Calibri" w:hAnsi="Calibri" w:cs="Calibri"/>
          </w:rPr>
          <w:t>https://nces.ed.gov/programs/digest/d17/tables/dt17_302.20.asp</w:t>
        </w:r>
      </w:hyperlink>
      <w:r w:rsidR="00DE5593">
        <w:rPr>
          <w:rFonts w:ascii="Calibri" w:eastAsia="Calibri" w:hAnsi="Calibri" w:cs="Calibri"/>
        </w:rPr>
        <w:t xml:space="preserve"> </w:t>
      </w:r>
    </w:p>
    <w:p w14:paraId="010B9C9A" w14:textId="257BE367" w:rsidR="007B7F87" w:rsidRDefault="29124017" w:rsidP="00DE5593">
      <w:r w:rsidRPr="29124017">
        <w:rPr>
          <w:rFonts w:ascii="Calibri" w:eastAsia="Calibri" w:hAnsi="Calibri" w:cs="Calibri"/>
        </w:rPr>
        <w:t xml:space="preserve">These figures come from the Current Population Survey, and the relatively small sample sizes for high school graduates moving immediately to college in those surveys means that we cannot be sure that the observed 10% drop between 2010 and 2016 was not due to sampling error. However, </w:t>
      </w:r>
      <w:r w:rsidR="005C1280">
        <w:rPr>
          <w:rFonts w:ascii="Calibri" w:eastAsia="Calibri" w:hAnsi="Calibri" w:cs="Calibri"/>
        </w:rPr>
        <w:t xml:space="preserve">we will show that </w:t>
      </w:r>
      <w:r w:rsidRPr="29124017">
        <w:rPr>
          <w:rFonts w:ascii="Calibri" w:eastAsia="Calibri" w:hAnsi="Calibri" w:cs="Calibri"/>
        </w:rPr>
        <w:t>institutional data from the department of Education’s IPEDS system – based on much larger numbers -- show a similar large decline in college going for first</w:t>
      </w:r>
      <w:r w:rsidR="005C1280">
        <w:rPr>
          <w:rFonts w:ascii="Calibri" w:eastAsia="Calibri" w:hAnsi="Calibri" w:cs="Calibri"/>
        </w:rPr>
        <w:t>-</w:t>
      </w:r>
      <w:r w:rsidRPr="29124017">
        <w:rPr>
          <w:rFonts w:ascii="Calibri" w:eastAsia="Calibri" w:hAnsi="Calibri" w:cs="Calibri"/>
        </w:rPr>
        <w:t>time undergraduates (see Table One below</w:t>
      </w:r>
      <w:r w:rsidR="00067862" w:rsidRPr="29124017">
        <w:rPr>
          <w:rFonts w:ascii="Calibri" w:eastAsia="Calibri" w:hAnsi="Calibri" w:cs="Calibri"/>
        </w:rPr>
        <w:t>).</w:t>
      </w:r>
      <w:r w:rsidRPr="29124017">
        <w:rPr>
          <w:rFonts w:ascii="Calibri" w:eastAsia="Calibri" w:hAnsi="Calibri" w:cs="Calibri"/>
        </w:rPr>
        <w:t xml:space="preserve"> </w:t>
      </w:r>
    </w:p>
  </w:footnote>
  <w:footnote w:id="8">
    <w:p w14:paraId="5F674515" w14:textId="21C14D88" w:rsidR="000B1F53" w:rsidRDefault="000B1F53">
      <w:pPr>
        <w:pStyle w:val="FootnoteText"/>
      </w:pPr>
      <w:r>
        <w:rPr>
          <w:rStyle w:val="FootnoteReference"/>
        </w:rPr>
        <w:footnoteRef/>
      </w:r>
      <w:r>
        <w:t xml:space="preserve"> One note of caution: </w:t>
      </w:r>
      <w:r w:rsidR="00FA1DFF">
        <w:t>T</w:t>
      </w:r>
      <w:r>
        <w:t xml:space="preserve">he Equality of Opportunity Data from </w:t>
      </w:r>
      <w:r w:rsidR="00FA1DFF">
        <w:t>Chetty et al (2017) only indicate parental income and do not report race. Therefore the figures on upward mobility of students from low income families are based on the 1</w:t>
      </w:r>
      <w:r w:rsidR="006700FA">
        <w:t>9</w:t>
      </w:r>
      <w:r w:rsidR="00FA1DFF">
        <w:t>80-1982 birth cohorts of low-income individuals of all races. Unfortunately, the publicly-released data do not allow for disaggregation by race or by gender.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5B8A"/>
    <w:multiLevelType w:val="hybridMultilevel"/>
    <w:tmpl w:val="0758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043A0"/>
    <w:multiLevelType w:val="hybridMultilevel"/>
    <w:tmpl w:val="48F4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DB"/>
    <w:rsid w:val="00004BBB"/>
    <w:rsid w:val="0000676D"/>
    <w:rsid w:val="00020956"/>
    <w:rsid w:val="00037218"/>
    <w:rsid w:val="00042833"/>
    <w:rsid w:val="00042EF8"/>
    <w:rsid w:val="00042F3C"/>
    <w:rsid w:val="0005797C"/>
    <w:rsid w:val="00067862"/>
    <w:rsid w:val="000711C8"/>
    <w:rsid w:val="000816A9"/>
    <w:rsid w:val="00084CD4"/>
    <w:rsid w:val="0009381A"/>
    <w:rsid w:val="000938CB"/>
    <w:rsid w:val="0009415E"/>
    <w:rsid w:val="000953E7"/>
    <w:rsid w:val="00096BE4"/>
    <w:rsid w:val="00096CB6"/>
    <w:rsid w:val="000974E2"/>
    <w:rsid w:val="000B1F53"/>
    <w:rsid w:val="000B2875"/>
    <w:rsid w:val="000B347F"/>
    <w:rsid w:val="000C12E6"/>
    <w:rsid w:val="000C507B"/>
    <w:rsid w:val="000C580A"/>
    <w:rsid w:val="000D0E92"/>
    <w:rsid w:val="000D2485"/>
    <w:rsid w:val="000D29AC"/>
    <w:rsid w:val="000D4E76"/>
    <w:rsid w:val="000D5FC4"/>
    <w:rsid w:val="000E3943"/>
    <w:rsid w:val="000E3D6E"/>
    <w:rsid w:val="000F6AE2"/>
    <w:rsid w:val="001005EC"/>
    <w:rsid w:val="00104482"/>
    <w:rsid w:val="00105CE8"/>
    <w:rsid w:val="00107B79"/>
    <w:rsid w:val="00110914"/>
    <w:rsid w:val="00115688"/>
    <w:rsid w:val="0012574A"/>
    <w:rsid w:val="00134311"/>
    <w:rsid w:val="001343C6"/>
    <w:rsid w:val="00143D50"/>
    <w:rsid w:val="00143E99"/>
    <w:rsid w:val="00151C07"/>
    <w:rsid w:val="00156317"/>
    <w:rsid w:val="001863DC"/>
    <w:rsid w:val="00192353"/>
    <w:rsid w:val="001967B4"/>
    <w:rsid w:val="00197138"/>
    <w:rsid w:val="0019741B"/>
    <w:rsid w:val="001A078A"/>
    <w:rsid w:val="001B232A"/>
    <w:rsid w:val="001B268A"/>
    <w:rsid w:val="001C2A38"/>
    <w:rsid w:val="001D145B"/>
    <w:rsid w:val="001D45BA"/>
    <w:rsid w:val="001E43F4"/>
    <w:rsid w:val="001E6DD0"/>
    <w:rsid w:val="001F4278"/>
    <w:rsid w:val="001F5DBF"/>
    <w:rsid w:val="001F6EDF"/>
    <w:rsid w:val="001F72CE"/>
    <w:rsid w:val="001F759D"/>
    <w:rsid w:val="001F7CBB"/>
    <w:rsid w:val="00200C3E"/>
    <w:rsid w:val="00205F69"/>
    <w:rsid w:val="00211D75"/>
    <w:rsid w:val="002236EE"/>
    <w:rsid w:val="00224709"/>
    <w:rsid w:val="0022685D"/>
    <w:rsid w:val="002268CA"/>
    <w:rsid w:val="00226A4A"/>
    <w:rsid w:val="00234A14"/>
    <w:rsid w:val="00241189"/>
    <w:rsid w:val="00254476"/>
    <w:rsid w:val="00270FCB"/>
    <w:rsid w:val="00276DB8"/>
    <w:rsid w:val="00281F42"/>
    <w:rsid w:val="00282FDF"/>
    <w:rsid w:val="0028349F"/>
    <w:rsid w:val="00285CAD"/>
    <w:rsid w:val="00286BB6"/>
    <w:rsid w:val="002903F2"/>
    <w:rsid w:val="0029187D"/>
    <w:rsid w:val="0029514C"/>
    <w:rsid w:val="002A78A3"/>
    <w:rsid w:val="002B3B14"/>
    <w:rsid w:val="002C0830"/>
    <w:rsid w:val="002C54F1"/>
    <w:rsid w:val="002C7279"/>
    <w:rsid w:val="002D217A"/>
    <w:rsid w:val="002E3898"/>
    <w:rsid w:val="003005C7"/>
    <w:rsid w:val="00305318"/>
    <w:rsid w:val="003061B8"/>
    <w:rsid w:val="003131E2"/>
    <w:rsid w:val="00313C62"/>
    <w:rsid w:val="00320BBF"/>
    <w:rsid w:val="0032586B"/>
    <w:rsid w:val="00331FC2"/>
    <w:rsid w:val="00337B9D"/>
    <w:rsid w:val="0034386F"/>
    <w:rsid w:val="00347F45"/>
    <w:rsid w:val="00362977"/>
    <w:rsid w:val="00366E95"/>
    <w:rsid w:val="00367B8F"/>
    <w:rsid w:val="0037611E"/>
    <w:rsid w:val="00397E8E"/>
    <w:rsid w:val="003A3F2D"/>
    <w:rsid w:val="003A4A55"/>
    <w:rsid w:val="003A6804"/>
    <w:rsid w:val="003A6B6E"/>
    <w:rsid w:val="003B202B"/>
    <w:rsid w:val="003B53D9"/>
    <w:rsid w:val="003C5813"/>
    <w:rsid w:val="003C6DAA"/>
    <w:rsid w:val="003D06B1"/>
    <w:rsid w:val="003D2D46"/>
    <w:rsid w:val="003D6641"/>
    <w:rsid w:val="003E3341"/>
    <w:rsid w:val="003F5B75"/>
    <w:rsid w:val="00401040"/>
    <w:rsid w:val="004123BC"/>
    <w:rsid w:val="00415E74"/>
    <w:rsid w:val="004172CB"/>
    <w:rsid w:val="004302E0"/>
    <w:rsid w:val="00435C9E"/>
    <w:rsid w:val="00437F79"/>
    <w:rsid w:val="00446381"/>
    <w:rsid w:val="00450D7D"/>
    <w:rsid w:val="00453F3B"/>
    <w:rsid w:val="0045772A"/>
    <w:rsid w:val="00461720"/>
    <w:rsid w:val="00464E2B"/>
    <w:rsid w:val="00467377"/>
    <w:rsid w:val="00475821"/>
    <w:rsid w:val="00475AAD"/>
    <w:rsid w:val="00477D5A"/>
    <w:rsid w:val="00482C6B"/>
    <w:rsid w:val="0048691A"/>
    <w:rsid w:val="004A0164"/>
    <w:rsid w:val="004A101A"/>
    <w:rsid w:val="004B0300"/>
    <w:rsid w:val="004C777C"/>
    <w:rsid w:val="004D27F7"/>
    <w:rsid w:val="004E1487"/>
    <w:rsid w:val="004E260D"/>
    <w:rsid w:val="004E2B1A"/>
    <w:rsid w:val="004F532A"/>
    <w:rsid w:val="00503399"/>
    <w:rsid w:val="00503D58"/>
    <w:rsid w:val="00506644"/>
    <w:rsid w:val="005072B2"/>
    <w:rsid w:val="0051266A"/>
    <w:rsid w:val="00514AD9"/>
    <w:rsid w:val="0051502A"/>
    <w:rsid w:val="00516AF2"/>
    <w:rsid w:val="00520E52"/>
    <w:rsid w:val="00527980"/>
    <w:rsid w:val="00534981"/>
    <w:rsid w:val="00546E2A"/>
    <w:rsid w:val="00553A21"/>
    <w:rsid w:val="00560878"/>
    <w:rsid w:val="00561E75"/>
    <w:rsid w:val="005625B9"/>
    <w:rsid w:val="00583242"/>
    <w:rsid w:val="005877F5"/>
    <w:rsid w:val="00590BA8"/>
    <w:rsid w:val="00595BCB"/>
    <w:rsid w:val="00596389"/>
    <w:rsid w:val="005A1150"/>
    <w:rsid w:val="005B30DF"/>
    <w:rsid w:val="005C1280"/>
    <w:rsid w:val="005D1BD6"/>
    <w:rsid w:val="005E0AB8"/>
    <w:rsid w:val="005F57D1"/>
    <w:rsid w:val="006008AE"/>
    <w:rsid w:val="00600C0B"/>
    <w:rsid w:val="00600D60"/>
    <w:rsid w:val="00605F1C"/>
    <w:rsid w:val="00615F67"/>
    <w:rsid w:val="006168A6"/>
    <w:rsid w:val="0062144D"/>
    <w:rsid w:val="00624A94"/>
    <w:rsid w:val="0063180F"/>
    <w:rsid w:val="00633644"/>
    <w:rsid w:val="0063681B"/>
    <w:rsid w:val="00645347"/>
    <w:rsid w:val="00650C8C"/>
    <w:rsid w:val="006700FA"/>
    <w:rsid w:val="00676EF1"/>
    <w:rsid w:val="00691416"/>
    <w:rsid w:val="006949E3"/>
    <w:rsid w:val="00696842"/>
    <w:rsid w:val="00697559"/>
    <w:rsid w:val="006A2B94"/>
    <w:rsid w:val="006A3A88"/>
    <w:rsid w:val="006B3F05"/>
    <w:rsid w:val="006B7382"/>
    <w:rsid w:val="006C1E74"/>
    <w:rsid w:val="006C765A"/>
    <w:rsid w:val="006C7ED8"/>
    <w:rsid w:val="006D5CA8"/>
    <w:rsid w:val="006D5D0A"/>
    <w:rsid w:val="006D65EE"/>
    <w:rsid w:val="006E5B0D"/>
    <w:rsid w:val="006F5189"/>
    <w:rsid w:val="006F7FCE"/>
    <w:rsid w:val="00702FB1"/>
    <w:rsid w:val="00704BBB"/>
    <w:rsid w:val="007050D8"/>
    <w:rsid w:val="00705386"/>
    <w:rsid w:val="00707C10"/>
    <w:rsid w:val="00714647"/>
    <w:rsid w:val="007301EB"/>
    <w:rsid w:val="00732F2F"/>
    <w:rsid w:val="00734030"/>
    <w:rsid w:val="0073753A"/>
    <w:rsid w:val="0074503D"/>
    <w:rsid w:val="00745C42"/>
    <w:rsid w:val="0075325F"/>
    <w:rsid w:val="0075791B"/>
    <w:rsid w:val="007627C4"/>
    <w:rsid w:val="00763058"/>
    <w:rsid w:val="00764734"/>
    <w:rsid w:val="0077017F"/>
    <w:rsid w:val="007777F8"/>
    <w:rsid w:val="00782476"/>
    <w:rsid w:val="007833BD"/>
    <w:rsid w:val="00783755"/>
    <w:rsid w:val="00783D08"/>
    <w:rsid w:val="00785D5A"/>
    <w:rsid w:val="00791A3F"/>
    <w:rsid w:val="00793A4B"/>
    <w:rsid w:val="00794681"/>
    <w:rsid w:val="00797EE5"/>
    <w:rsid w:val="007A12A1"/>
    <w:rsid w:val="007A2892"/>
    <w:rsid w:val="007A2C4A"/>
    <w:rsid w:val="007A66C0"/>
    <w:rsid w:val="007B0A56"/>
    <w:rsid w:val="007B1130"/>
    <w:rsid w:val="007B1F9F"/>
    <w:rsid w:val="007B7961"/>
    <w:rsid w:val="007B7E33"/>
    <w:rsid w:val="007B7F87"/>
    <w:rsid w:val="007E1883"/>
    <w:rsid w:val="007E5749"/>
    <w:rsid w:val="007E5923"/>
    <w:rsid w:val="007E6D45"/>
    <w:rsid w:val="007F042A"/>
    <w:rsid w:val="007F3C44"/>
    <w:rsid w:val="007F64D4"/>
    <w:rsid w:val="007F7577"/>
    <w:rsid w:val="007F7ADF"/>
    <w:rsid w:val="00815F5E"/>
    <w:rsid w:val="00825093"/>
    <w:rsid w:val="0083533C"/>
    <w:rsid w:val="00841FE2"/>
    <w:rsid w:val="00855052"/>
    <w:rsid w:val="008702AB"/>
    <w:rsid w:val="00881917"/>
    <w:rsid w:val="0088240F"/>
    <w:rsid w:val="00892D10"/>
    <w:rsid w:val="008934D5"/>
    <w:rsid w:val="00894293"/>
    <w:rsid w:val="00895E2E"/>
    <w:rsid w:val="00896570"/>
    <w:rsid w:val="008A35A3"/>
    <w:rsid w:val="008B1E0F"/>
    <w:rsid w:val="008B36BE"/>
    <w:rsid w:val="008B3B05"/>
    <w:rsid w:val="008B70A2"/>
    <w:rsid w:val="008B7F79"/>
    <w:rsid w:val="008C0BC5"/>
    <w:rsid w:val="008C1A2D"/>
    <w:rsid w:val="008C2BC5"/>
    <w:rsid w:val="008C4F59"/>
    <w:rsid w:val="008D76E0"/>
    <w:rsid w:val="008E07FF"/>
    <w:rsid w:val="008E31FF"/>
    <w:rsid w:val="008F24E8"/>
    <w:rsid w:val="00902E57"/>
    <w:rsid w:val="00904000"/>
    <w:rsid w:val="00916A88"/>
    <w:rsid w:val="009223E0"/>
    <w:rsid w:val="009250D7"/>
    <w:rsid w:val="00926F4E"/>
    <w:rsid w:val="0093558D"/>
    <w:rsid w:val="0094513E"/>
    <w:rsid w:val="00947E6C"/>
    <w:rsid w:val="00950CCC"/>
    <w:rsid w:val="00955864"/>
    <w:rsid w:val="00961511"/>
    <w:rsid w:val="009706AE"/>
    <w:rsid w:val="00983A86"/>
    <w:rsid w:val="009848D0"/>
    <w:rsid w:val="00984FCC"/>
    <w:rsid w:val="009929AE"/>
    <w:rsid w:val="009936FE"/>
    <w:rsid w:val="009A0A15"/>
    <w:rsid w:val="009A0A53"/>
    <w:rsid w:val="009A17E4"/>
    <w:rsid w:val="009A7EAD"/>
    <w:rsid w:val="009A7F20"/>
    <w:rsid w:val="009B2016"/>
    <w:rsid w:val="009B247B"/>
    <w:rsid w:val="009C58A0"/>
    <w:rsid w:val="009D6A42"/>
    <w:rsid w:val="009E03EC"/>
    <w:rsid w:val="009E3360"/>
    <w:rsid w:val="009E73CE"/>
    <w:rsid w:val="009F6D59"/>
    <w:rsid w:val="00A0294B"/>
    <w:rsid w:val="00A045C5"/>
    <w:rsid w:val="00A05E5F"/>
    <w:rsid w:val="00A10723"/>
    <w:rsid w:val="00A1092B"/>
    <w:rsid w:val="00A2077B"/>
    <w:rsid w:val="00A22771"/>
    <w:rsid w:val="00A310DC"/>
    <w:rsid w:val="00A32B09"/>
    <w:rsid w:val="00A418C5"/>
    <w:rsid w:val="00A512A7"/>
    <w:rsid w:val="00A56372"/>
    <w:rsid w:val="00A744C3"/>
    <w:rsid w:val="00A7482B"/>
    <w:rsid w:val="00A85D5E"/>
    <w:rsid w:val="00A85E83"/>
    <w:rsid w:val="00A87262"/>
    <w:rsid w:val="00A953F3"/>
    <w:rsid w:val="00A955B6"/>
    <w:rsid w:val="00A9615D"/>
    <w:rsid w:val="00AA188B"/>
    <w:rsid w:val="00AA1B28"/>
    <w:rsid w:val="00AA2380"/>
    <w:rsid w:val="00AA77EF"/>
    <w:rsid w:val="00AB1CB2"/>
    <w:rsid w:val="00AC014A"/>
    <w:rsid w:val="00AC76CD"/>
    <w:rsid w:val="00AF163D"/>
    <w:rsid w:val="00B001E7"/>
    <w:rsid w:val="00B0272D"/>
    <w:rsid w:val="00B17A28"/>
    <w:rsid w:val="00B401CA"/>
    <w:rsid w:val="00B42A9F"/>
    <w:rsid w:val="00B43A4A"/>
    <w:rsid w:val="00B4474A"/>
    <w:rsid w:val="00B51CFF"/>
    <w:rsid w:val="00B551F3"/>
    <w:rsid w:val="00B615B0"/>
    <w:rsid w:val="00B6580E"/>
    <w:rsid w:val="00B674A3"/>
    <w:rsid w:val="00B75498"/>
    <w:rsid w:val="00B75B41"/>
    <w:rsid w:val="00B82AD5"/>
    <w:rsid w:val="00B83459"/>
    <w:rsid w:val="00B901BC"/>
    <w:rsid w:val="00BA4F75"/>
    <w:rsid w:val="00BA5E65"/>
    <w:rsid w:val="00BA6044"/>
    <w:rsid w:val="00BB069C"/>
    <w:rsid w:val="00BB1713"/>
    <w:rsid w:val="00BB1914"/>
    <w:rsid w:val="00BB5BA5"/>
    <w:rsid w:val="00BB6710"/>
    <w:rsid w:val="00BB6B6F"/>
    <w:rsid w:val="00BD5788"/>
    <w:rsid w:val="00BE0348"/>
    <w:rsid w:val="00BF1E0B"/>
    <w:rsid w:val="00C12EAB"/>
    <w:rsid w:val="00C13C06"/>
    <w:rsid w:val="00C205F2"/>
    <w:rsid w:val="00C23301"/>
    <w:rsid w:val="00C31D05"/>
    <w:rsid w:val="00C431AA"/>
    <w:rsid w:val="00C43CD2"/>
    <w:rsid w:val="00C50D21"/>
    <w:rsid w:val="00C512EF"/>
    <w:rsid w:val="00C537B9"/>
    <w:rsid w:val="00C642DF"/>
    <w:rsid w:val="00C64650"/>
    <w:rsid w:val="00C74A2F"/>
    <w:rsid w:val="00C815FD"/>
    <w:rsid w:val="00C8440A"/>
    <w:rsid w:val="00C86638"/>
    <w:rsid w:val="00C91133"/>
    <w:rsid w:val="00C915CC"/>
    <w:rsid w:val="00C917DB"/>
    <w:rsid w:val="00C91F71"/>
    <w:rsid w:val="00C94784"/>
    <w:rsid w:val="00C94BB1"/>
    <w:rsid w:val="00C9757F"/>
    <w:rsid w:val="00CA20A4"/>
    <w:rsid w:val="00CA21D4"/>
    <w:rsid w:val="00CA36B8"/>
    <w:rsid w:val="00CB7537"/>
    <w:rsid w:val="00CC1BE8"/>
    <w:rsid w:val="00CC5967"/>
    <w:rsid w:val="00CD01AB"/>
    <w:rsid w:val="00CD1C15"/>
    <w:rsid w:val="00CD257D"/>
    <w:rsid w:val="00CD25E7"/>
    <w:rsid w:val="00CD2F60"/>
    <w:rsid w:val="00CD48E2"/>
    <w:rsid w:val="00CE0FC6"/>
    <w:rsid w:val="00CE486E"/>
    <w:rsid w:val="00CE7287"/>
    <w:rsid w:val="00D016C8"/>
    <w:rsid w:val="00D11F4A"/>
    <w:rsid w:val="00D15D06"/>
    <w:rsid w:val="00D165F7"/>
    <w:rsid w:val="00D21333"/>
    <w:rsid w:val="00D27973"/>
    <w:rsid w:val="00D432AE"/>
    <w:rsid w:val="00D56869"/>
    <w:rsid w:val="00D57225"/>
    <w:rsid w:val="00D73334"/>
    <w:rsid w:val="00D770C5"/>
    <w:rsid w:val="00D82F15"/>
    <w:rsid w:val="00D83520"/>
    <w:rsid w:val="00D846AE"/>
    <w:rsid w:val="00D92D4D"/>
    <w:rsid w:val="00D94F22"/>
    <w:rsid w:val="00DB7AAA"/>
    <w:rsid w:val="00DC5064"/>
    <w:rsid w:val="00DD1CD0"/>
    <w:rsid w:val="00DD510F"/>
    <w:rsid w:val="00DD5B92"/>
    <w:rsid w:val="00DD643F"/>
    <w:rsid w:val="00DD66EA"/>
    <w:rsid w:val="00DE13F4"/>
    <w:rsid w:val="00DE5593"/>
    <w:rsid w:val="00DE71A1"/>
    <w:rsid w:val="00E0665B"/>
    <w:rsid w:val="00E06967"/>
    <w:rsid w:val="00E3009D"/>
    <w:rsid w:val="00E320EA"/>
    <w:rsid w:val="00E32D6A"/>
    <w:rsid w:val="00E36172"/>
    <w:rsid w:val="00E4176A"/>
    <w:rsid w:val="00E51F4D"/>
    <w:rsid w:val="00E56F10"/>
    <w:rsid w:val="00E57634"/>
    <w:rsid w:val="00E6374A"/>
    <w:rsid w:val="00E64624"/>
    <w:rsid w:val="00E7029E"/>
    <w:rsid w:val="00E741FA"/>
    <w:rsid w:val="00E87A3A"/>
    <w:rsid w:val="00EA76DD"/>
    <w:rsid w:val="00ED3317"/>
    <w:rsid w:val="00EF3F4C"/>
    <w:rsid w:val="00EF4D41"/>
    <w:rsid w:val="00F056BF"/>
    <w:rsid w:val="00F2538A"/>
    <w:rsid w:val="00F262D9"/>
    <w:rsid w:val="00F26DE4"/>
    <w:rsid w:val="00F467D0"/>
    <w:rsid w:val="00F47204"/>
    <w:rsid w:val="00F516D3"/>
    <w:rsid w:val="00F546C9"/>
    <w:rsid w:val="00F54868"/>
    <w:rsid w:val="00F623E6"/>
    <w:rsid w:val="00F6475F"/>
    <w:rsid w:val="00F6617F"/>
    <w:rsid w:val="00F675EF"/>
    <w:rsid w:val="00F75193"/>
    <w:rsid w:val="00F76390"/>
    <w:rsid w:val="00F8410D"/>
    <w:rsid w:val="00F931A0"/>
    <w:rsid w:val="00F97F05"/>
    <w:rsid w:val="00FA16CE"/>
    <w:rsid w:val="00FA1DFF"/>
    <w:rsid w:val="00FA2E57"/>
    <w:rsid w:val="00FA6E42"/>
    <w:rsid w:val="00FB06CD"/>
    <w:rsid w:val="00FB5885"/>
    <w:rsid w:val="00FD1A10"/>
    <w:rsid w:val="00FD3CAB"/>
    <w:rsid w:val="00FE5671"/>
    <w:rsid w:val="00FE79EE"/>
    <w:rsid w:val="00FF1A69"/>
    <w:rsid w:val="00FF4227"/>
    <w:rsid w:val="00FF5250"/>
    <w:rsid w:val="033C0B88"/>
    <w:rsid w:val="06D30DE4"/>
    <w:rsid w:val="07BA3947"/>
    <w:rsid w:val="0DE86C8F"/>
    <w:rsid w:val="0F8C3BF8"/>
    <w:rsid w:val="10EAFB61"/>
    <w:rsid w:val="133FB3EF"/>
    <w:rsid w:val="146858C9"/>
    <w:rsid w:val="1C141DA2"/>
    <w:rsid w:val="1CE0E3A3"/>
    <w:rsid w:val="1E0D04F3"/>
    <w:rsid w:val="1ED301E1"/>
    <w:rsid w:val="2041F4D6"/>
    <w:rsid w:val="23B39153"/>
    <w:rsid w:val="29124017"/>
    <w:rsid w:val="29B23AF1"/>
    <w:rsid w:val="29BFC2C4"/>
    <w:rsid w:val="3BCAAF9C"/>
    <w:rsid w:val="42DECB17"/>
    <w:rsid w:val="46EA86CF"/>
    <w:rsid w:val="48FDD5B6"/>
    <w:rsid w:val="4F2982F9"/>
    <w:rsid w:val="516FBE10"/>
    <w:rsid w:val="51FCA91A"/>
    <w:rsid w:val="5CC2FCAC"/>
    <w:rsid w:val="5DA70210"/>
    <w:rsid w:val="5E658714"/>
    <w:rsid w:val="69E998C0"/>
    <w:rsid w:val="79F8DEFD"/>
    <w:rsid w:val="7F1DADC0"/>
    <w:rsid w:val="7F78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558B"/>
  <w15:chartTrackingRefBased/>
  <w15:docId w15:val="{5F0702F8-F586-4BD8-877A-1CE8A0DB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57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32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rsid w:val="000953E7"/>
    <w:rPr>
      <w:color w:val="0000FF"/>
      <w:u w:val="single"/>
    </w:rPr>
  </w:style>
  <w:style w:type="paragraph" w:styleId="ListParagraph">
    <w:name w:val="List Paragraph"/>
    <w:basedOn w:val="Normal"/>
    <w:uiPriority w:val="34"/>
    <w:qFormat/>
    <w:rsid w:val="000953E7"/>
    <w:pPr>
      <w:spacing w:after="0" w:line="240" w:lineRule="auto"/>
      <w:ind w:left="720"/>
      <w:contextualSpacing/>
    </w:pPr>
    <w:rPr>
      <w:rFonts w:ascii="New York" w:eastAsia="Times New Roman" w:hAnsi="New York" w:cs="Times New Roman"/>
      <w:noProof/>
      <w:sz w:val="24"/>
      <w:szCs w:val="20"/>
    </w:rPr>
  </w:style>
  <w:style w:type="character" w:styleId="UnresolvedMention">
    <w:name w:val="Unresolved Mention"/>
    <w:basedOn w:val="DefaultParagraphFont"/>
    <w:uiPriority w:val="99"/>
    <w:semiHidden/>
    <w:unhideWhenUsed/>
    <w:rsid w:val="000953E7"/>
    <w:rPr>
      <w:color w:val="605E5C"/>
      <w:shd w:val="clear" w:color="auto" w:fill="E1DFDD"/>
    </w:rPr>
  </w:style>
  <w:style w:type="character" w:styleId="FollowedHyperlink">
    <w:name w:val="FollowedHyperlink"/>
    <w:basedOn w:val="DefaultParagraphFont"/>
    <w:uiPriority w:val="99"/>
    <w:semiHidden/>
    <w:unhideWhenUsed/>
    <w:rsid w:val="006008AE"/>
    <w:rPr>
      <w:color w:val="954F72" w:themeColor="followedHyperlink"/>
      <w:u w:val="single"/>
    </w:rPr>
  </w:style>
  <w:style w:type="paragraph" w:styleId="BalloonText">
    <w:name w:val="Balloon Text"/>
    <w:basedOn w:val="Normal"/>
    <w:link w:val="BalloonTextChar"/>
    <w:uiPriority w:val="99"/>
    <w:semiHidden/>
    <w:unhideWhenUsed/>
    <w:rsid w:val="00E06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67"/>
    <w:rPr>
      <w:rFonts w:ascii="Segoe UI" w:hAnsi="Segoe UI" w:cs="Segoe UI"/>
      <w:sz w:val="18"/>
      <w:szCs w:val="18"/>
    </w:rPr>
  </w:style>
  <w:style w:type="paragraph" w:styleId="Header">
    <w:name w:val="header"/>
    <w:basedOn w:val="Normal"/>
    <w:link w:val="HeaderChar"/>
    <w:uiPriority w:val="99"/>
    <w:unhideWhenUsed/>
    <w:rsid w:val="009E0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EC"/>
  </w:style>
  <w:style w:type="paragraph" w:styleId="Footer">
    <w:name w:val="footer"/>
    <w:basedOn w:val="Normal"/>
    <w:link w:val="FooterChar"/>
    <w:uiPriority w:val="99"/>
    <w:unhideWhenUsed/>
    <w:rsid w:val="009E0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EC"/>
  </w:style>
  <w:style w:type="paragraph" w:styleId="FootnoteText">
    <w:name w:val="footnote text"/>
    <w:basedOn w:val="Normal"/>
    <w:link w:val="FootnoteTextChar"/>
    <w:uiPriority w:val="99"/>
    <w:semiHidden/>
    <w:unhideWhenUsed/>
    <w:rsid w:val="00F0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6BF"/>
    <w:rPr>
      <w:sz w:val="20"/>
      <w:szCs w:val="20"/>
    </w:rPr>
  </w:style>
  <w:style w:type="character" w:styleId="FootnoteReference">
    <w:name w:val="footnote reference"/>
    <w:basedOn w:val="DefaultParagraphFont"/>
    <w:uiPriority w:val="99"/>
    <w:semiHidden/>
    <w:unhideWhenUsed/>
    <w:rsid w:val="00F056BF"/>
    <w:rPr>
      <w:vertAlign w:val="superscript"/>
    </w:rPr>
  </w:style>
  <w:style w:type="character" w:styleId="HTMLCite">
    <w:name w:val="HTML Cite"/>
    <w:basedOn w:val="DefaultParagraphFont"/>
    <w:uiPriority w:val="99"/>
    <w:semiHidden/>
    <w:unhideWhenUsed/>
    <w:rsid w:val="00A85D5E"/>
    <w:rPr>
      <w:i/>
      <w:iCs/>
    </w:rPr>
  </w:style>
  <w:style w:type="table" w:styleId="TableGrid">
    <w:name w:val="Table Grid"/>
    <w:basedOn w:val="TableNormal"/>
    <w:uiPriority w:val="59"/>
    <w:rsid w:val="00B551F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5">
    <w:name w:val="A15"/>
    <w:uiPriority w:val="99"/>
    <w:rsid w:val="000D29AC"/>
    <w:rPr>
      <w:rFonts w:cs="Minion Bold"/>
      <w:color w:val="000000"/>
      <w:sz w:val="16"/>
      <w:szCs w:val="16"/>
    </w:rPr>
  </w:style>
  <w:style w:type="character" w:customStyle="1" w:styleId="Heading1Char">
    <w:name w:val="Heading 1 Char"/>
    <w:basedOn w:val="DefaultParagraphFont"/>
    <w:link w:val="Heading1"/>
    <w:uiPriority w:val="9"/>
    <w:rsid w:val="007E57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3814">
      <w:bodyDiv w:val="1"/>
      <w:marLeft w:val="0"/>
      <w:marRight w:val="0"/>
      <w:marTop w:val="0"/>
      <w:marBottom w:val="0"/>
      <w:divBdr>
        <w:top w:val="none" w:sz="0" w:space="0" w:color="auto"/>
        <w:left w:val="none" w:sz="0" w:space="0" w:color="auto"/>
        <w:bottom w:val="none" w:sz="0" w:space="0" w:color="auto"/>
        <w:right w:val="none" w:sz="0" w:space="0" w:color="auto"/>
      </w:divBdr>
      <w:divsChild>
        <w:div w:id="1382169638">
          <w:marLeft w:val="480"/>
          <w:marRight w:val="0"/>
          <w:marTop w:val="0"/>
          <w:marBottom w:val="0"/>
          <w:divBdr>
            <w:top w:val="none" w:sz="0" w:space="0" w:color="auto"/>
            <w:left w:val="none" w:sz="0" w:space="0" w:color="auto"/>
            <w:bottom w:val="none" w:sz="0" w:space="0" w:color="auto"/>
            <w:right w:val="none" w:sz="0" w:space="0" w:color="auto"/>
          </w:divBdr>
          <w:divsChild>
            <w:div w:id="901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6287">
      <w:bodyDiv w:val="1"/>
      <w:marLeft w:val="0"/>
      <w:marRight w:val="0"/>
      <w:marTop w:val="0"/>
      <w:marBottom w:val="0"/>
      <w:divBdr>
        <w:top w:val="none" w:sz="0" w:space="0" w:color="auto"/>
        <w:left w:val="none" w:sz="0" w:space="0" w:color="auto"/>
        <w:bottom w:val="none" w:sz="0" w:space="0" w:color="auto"/>
        <w:right w:val="none" w:sz="0" w:space="0" w:color="auto"/>
      </w:divBdr>
      <w:divsChild>
        <w:div w:id="359817714">
          <w:marLeft w:val="480"/>
          <w:marRight w:val="0"/>
          <w:marTop w:val="0"/>
          <w:marBottom w:val="0"/>
          <w:divBdr>
            <w:top w:val="none" w:sz="0" w:space="0" w:color="auto"/>
            <w:left w:val="none" w:sz="0" w:space="0" w:color="auto"/>
            <w:bottom w:val="none" w:sz="0" w:space="0" w:color="auto"/>
            <w:right w:val="none" w:sz="0" w:space="0" w:color="auto"/>
          </w:divBdr>
          <w:divsChild>
            <w:div w:id="19805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9025">
      <w:bodyDiv w:val="1"/>
      <w:marLeft w:val="0"/>
      <w:marRight w:val="0"/>
      <w:marTop w:val="0"/>
      <w:marBottom w:val="0"/>
      <w:divBdr>
        <w:top w:val="none" w:sz="0" w:space="0" w:color="auto"/>
        <w:left w:val="none" w:sz="0" w:space="0" w:color="auto"/>
        <w:bottom w:val="none" w:sz="0" w:space="0" w:color="auto"/>
        <w:right w:val="none" w:sz="0" w:space="0" w:color="auto"/>
      </w:divBdr>
      <w:divsChild>
        <w:div w:id="654987772">
          <w:marLeft w:val="480"/>
          <w:marRight w:val="0"/>
          <w:marTop w:val="0"/>
          <w:marBottom w:val="0"/>
          <w:divBdr>
            <w:top w:val="none" w:sz="0" w:space="0" w:color="auto"/>
            <w:left w:val="none" w:sz="0" w:space="0" w:color="auto"/>
            <w:bottom w:val="none" w:sz="0" w:space="0" w:color="auto"/>
            <w:right w:val="none" w:sz="0" w:space="0" w:color="auto"/>
          </w:divBdr>
          <w:divsChild>
            <w:div w:id="20707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5832">
      <w:bodyDiv w:val="1"/>
      <w:marLeft w:val="0"/>
      <w:marRight w:val="0"/>
      <w:marTop w:val="0"/>
      <w:marBottom w:val="0"/>
      <w:divBdr>
        <w:top w:val="none" w:sz="0" w:space="0" w:color="auto"/>
        <w:left w:val="none" w:sz="0" w:space="0" w:color="auto"/>
        <w:bottom w:val="none" w:sz="0" w:space="0" w:color="auto"/>
        <w:right w:val="none" w:sz="0" w:space="0" w:color="auto"/>
      </w:divBdr>
      <w:divsChild>
        <w:div w:id="655495444">
          <w:marLeft w:val="480"/>
          <w:marRight w:val="0"/>
          <w:marTop w:val="0"/>
          <w:marBottom w:val="0"/>
          <w:divBdr>
            <w:top w:val="none" w:sz="0" w:space="0" w:color="auto"/>
            <w:left w:val="none" w:sz="0" w:space="0" w:color="auto"/>
            <w:bottom w:val="none" w:sz="0" w:space="0" w:color="auto"/>
            <w:right w:val="none" w:sz="0" w:space="0" w:color="auto"/>
          </w:divBdr>
          <w:divsChild>
            <w:div w:id="20676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168">
      <w:bodyDiv w:val="1"/>
      <w:marLeft w:val="0"/>
      <w:marRight w:val="0"/>
      <w:marTop w:val="0"/>
      <w:marBottom w:val="0"/>
      <w:divBdr>
        <w:top w:val="none" w:sz="0" w:space="0" w:color="auto"/>
        <w:left w:val="none" w:sz="0" w:space="0" w:color="auto"/>
        <w:bottom w:val="none" w:sz="0" w:space="0" w:color="auto"/>
        <w:right w:val="none" w:sz="0" w:space="0" w:color="auto"/>
      </w:divBdr>
      <w:divsChild>
        <w:div w:id="1486701798">
          <w:marLeft w:val="480"/>
          <w:marRight w:val="0"/>
          <w:marTop w:val="0"/>
          <w:marBottom w:val="0"/>
          <w:divBdr>
            <w:top w:val="none" w:sz="0" w:space="0" w:color="auto"/>
            <w:left w:val="none" w:sz="0" w:space="0" w:color="auto"/>
            <w:bottom w:val="none" w:sz="0" w:space="0" w:color="auto"/>
            <w:right w:val="none" w:sz="0" w:space="0" w:color="auto"/>
          </w:divBdr>
          <w:divsChild>
            <w:div w:id="13985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8145">
      <w:bodyDiv w:val="1"/>
      <w:marLeft w:val="0"/>
      <w:marRight w:val="0"/>
      <w:marTop w:val="0"/>
      <w:marBottom w:val="0"/>
      <w:divBdr>
        <w:top w:val="none" w:sz="0" w:space="0" w:color="auto"/>
        <w:left w:val="none" w:sz="0" w:space="0" w:color="auto"/>
        <w:bottom w:val="none" w:sz="0" w:space="0" w:color="auto"/>
        <w:right w:val="none" w:sz="0" w:space="0" w:color="auto"/>
      </w:divBdr>
      <w:divsChild>
        <w:div w:id="289552793">
          <w:marLeft w:val="0"/>
          <w:marRight w:val="0"/>
          <w:marTop w:val="0"/>
          <w:marBottom w:val="150"/>
          <w:divBdr>
            <w:top w:val="none" w:sz="0" w:space="0" w:color="auto"/>
            <w:left w:val="none" w:sz="0" w:space="0" w:color="auto"/>
            <w:bottom w:val="none" w:sz="0" w:space="0" w:color="auto"/>
            <w:right w:val="none" w:sz="0" w:space="0" w:color="auto"/>
          </w:divBdr>
        </w:div>
        <w:div w:id="1349284974">
          <w:marLeft w:val="0"/>
          <w:marRight w:val="0"/>
          <w:marTop w:val="0"/>
          <w:marBottom w:val="120"/>
          <w:divBdr>
            <w:top w:val="none" w:sz="0" w:space="0" w:color="auto"/>
            <w:left w:val="none" w:sz="0" w:space="0" w:color="auto"/>
            <w:bottom w:val="none" w:sz="0" w:space="0" w:color="auto"/>
            <w:right w:val="none" w:sz="0" w:space="0" w:color="auto"/>
          </w:divBdr>
          <w:divsChild>
            <w:div w:id="1120103320">
              <w:marLeft w:val="0"/>
              <w:marRight w:val="0"/>
              <w:marTop w:val="0"/>
              <w:marBottom w:val="0"/>
              <w:divBdr>
                <w:top w:val="none" w:sz="0" w:space="0" w:color="auto"/>
                <w:left w:val="none" w:sz="0" w:space="0" w:color="auto"/>
                <w:bottom w:val="none" w:sz="0" w:space="0" w:color="auto"/>
                <w:right w:val="none" w:sz="0" w:space="0" w:color="auto"/>
              </w:divBdr>
            </w:div>
            <w:div w:id="12041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5663">
      <w:bodyDiv w:val="1"/>
      <w:marLeft w:val="0"/>
      <w:marRight w:val="0"/>
      <w:marTop w:val="0"/>
      <w:marBottom w:val="0"/>
      <w:divBdr>
        <w:top w:val="none" w:sz="0" w:space="0" w:color="auto"/>
        <w:left w:val="none" w:sz="0" w:space="0" w:color="auto"/>
        <w:bottom w:val="none" w:sz="0" w:space="0" w:color="auto"/>
        <w:right w:val="none" w:sz="0" w:space="0" w:color="auto"/>
      </w:divBdr>
    </w:div>
    <w:div w:id="1998922719">
      <w:bodyDiv w:val="1"/>
      <w:marLeft w:val="0"/>
      <w:marRight w:val="0"/>
      <w:marTop w:val="0"/>
      <w:marBottom w:val="0"/>
      <w:divBdr>
        <w:top w:val="none" w:sz="0" w:space="0" w:color="auto"/>
        <w:left w:val="none" w:sz="0" w:space="0" w:color="auto"/>
        <w:bottom w:val="none" w:sz="0" w:space="0" w:color="auto"/>
        <w:right w:val="none" w:sz="0" w:space="0" w:color="auto"/>
      </w:divBdr>
    </w:div>
    <w:div w:id="2039700680">
      <w:bodyDiv w:val="1"/>
      <w:marLeft w:val="0"/>
      <w:marRight w:val="0"/>
      <w:marTop w:val="0"/>
      <w:marBottom w:val="0"/>
      <w:divBdr>
        <w:top w:val="none" w:sz="0" w:space="0" w:color="auto"/>
        <w:left w:val="none" w:sz="0" w:space="0" w:color="auto"/>
        <w:bottom w:val="none" w:sz="0" w:space="0" w:color="auto"/>
        <w:right w:val="none" w:sz="0" w:space="0" w:color="auto"/>
      </w:divBdr>
    </w:div>
    <w:div w:id="2119330557">
      <w:bodyDiv w:val="1"/>
      <w:marLeft w:val="0"/>
      <w:marRight w:val="0"/>
      <w:marTop w:val="0"/>
      <w:marBottom w:val="0"/>
      <w:divBdr>
        <w:top w:val="none" w:sz="0" w:space="0" w:color="auto"/>
        <w:left w:val="none" w:sz="0" w:space="0" w:color="auto"/>
        <w:bottom w:val="none" w:sz="0" w:space="0" w:color="auto"/>
        <w:right w:val="none" w:sz="0" w:space="0" w:color="auto"/>
      </w:divBdr>
      <w:divsChild>
        <w:div w:id="1091774547">
          <w:marLeft w:val="480"/>
          <w:marRight w:val="0"/>
          <w:marTop w:val="0"/>
          <w:marBottom w:val="0"/>
          <w:divBdr>
            <w:top w:val="none" w:sz="0" w:space="0" w:color="auto"/>
            <w:left w:val="none" w:sz="0" w:space="0" w:color="auto"/>
            <w:bottom w:val="none" w:sz="0" w:space="0" w:color="auto"/>
            <w:right w:val="none" w:sz="0" w:space="0" w:color="auto"/>
          </w:divBdr>
          <w:divsChild>
            <w:div w:id="20546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washingtonpost.com/opinions/2019/04/30/weve-made-remarkable-progress-black-incarceration-now-we-need-know-wh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ric.ed.gov/?id=ED58043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esearch.collegeboard.org/pdf/trends-college-pricing-2018-full-repor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pportunityinsights.org/wp-content/uploads/2018/03/coll_mrc_paper.pdf" TargetMode="External"/><Relationship Id="rId20" Type="http://schemas.openxmlformats.org/officeDocument/2006/relationships/hyperlink" Target="https://edtrust.org/wp-content/uploads/2014/09/A-Look-at-Black-Student-Succe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s.ed.gov/programs/digest/d18/tables/dt18_501.30.asp" TargetMode="External"/><Relationship Id="rId24" Type="http://schemas.openxmlformats.org/officeDocument/2006/relationships/hyperlink" Target="https://doi.org/10.1080/00221546.2019.1609323" TargetMode="External"/><Relationship Id="rId5" Type="http://schemas.openxmlformats.org/officeDocument/2006/relationships/webSettings" Target="webSettings.xml"/><Relationship Id="rId15" Type="http://schemas.openxmlformats.org/officeDocument/2006/relationships/hyperlink" Target="http://www.bjs.gov/index.cfm?ty=pbdetail&amp;iid=6546" TargetMode="External"/><Relationship Id="rId23" Type="http://schemas.openxmlformats.org/officeDocument/2006/relationships/hyperlink" Target="https://www.gao.gov/assets/700/696254.pdf" TargetMode="External"/><Relationship Id="rId10" Type="http://schemas.openxmlformats.org/officeDocument/2006/relationships/image" Target="media/image3.png"/><Relationship Id="rId19" Type="http://schemas.openxmlformats.org/officeDocument/2006/relationships/hyperlink" Target="http://cmsi.gse.rutgers.edu/sites/default/files/EMreport_R4_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yperlink" Target="https://www.nytimes.com/2019/10/21/opinion/hbcu-colleg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ces.ed.gov/programs/digest/d18/tables/dt18_219.67.asp" TargetMode="External"/><Relationship Id="rId2" Type="http://schemas.openxmlformats.org/officeDocument/2006/relationships/hyperlink" Target="https://nces.ed.gov/fastfacts/display.asp?id=667" TargetMode="External"/><Relationship Id="rId1" Type="http://schemas.openxmlformats.org/officeDocument/2006/relationships/hyperlink" Target="https://research.collegeboard.org/pdf/trends-college-pricing-2018-full-report.pdf" TargetMode="External"/><Relationship Id="rId4" Type="http://schemas.openxmlformats.org/officeDocument/2006/relationships/hyperlink" Target="https://nces.ed.gov/programs/digest/d17/tables/dt17_302.2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6531-DC7D-4A33-8BCC-E324F21F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17</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Attewell</dc:creator>
  <cp:keywords/>
  <dc:description/>
  <cp:lastModifiedBy>Paul Attewell</cp:lastModifiedBy>
  <cp:revision>81</cp:revision>
  <dcterms:created xsi:type="dcterms:W3CDTF">2019-10-24T15:12:00Z</dcterms:created>
  <dcterms:modified xsi:type="dcterms:W3CDTF">2019-11-10T23:45:00Z</dcterms:modified>
</cp:coreProperties>
</file>